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color w:val="1F3C6C"/>
          <w:sz w:val="40"/>
        </w:rPr>
        <w:t>大模型底座供应链安全</w:t>
      </w:r>
    </w:p>
    <w:p>
      <w:pPr>
        <w:jc w:val="center"/>
      </w:pPr>
      <w:r>
        <w:rPr>
          <w:color w:val="606060"/>
          <w:sz w:val="18"/>
        </w:rPr>
        <w:t>浙江大学计算机学院 / 区块链与数据安全全国重点实验室</w:t>
      </w:r>
    </w:p>
    <w:p>
      <w:pPr>
        <w:spacing w:before="120" w:after="60"/>
      </w:pPr>
      <w:r>
        <w:rPr>
          <w:rFonts w:ascii="SimHei" w:hAnsi="SimHei" w:eastAsia="黑体"/>
          <w:b/>
          <w:color w:val="1F3C6C"/>
          <w:sz w:val="26"/>
        </w:rPr>
        <w:t>一、AI基础设施：被忽视的多层风险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rPr>
                <w:rFonts w:ascii="黑体" w:hAnsi="黑体" w:eastAsia="黑体"/>
                <w:b/>
                <w:sz w:val="19"/>
              </w:rPr>
              <w:t>层次</w:t>
            </w:r>
          </w:p>
        </w:tc>
        <w:tc>
          <w:tcPr>
            <w:tcW w:type="dxa" w:w="4824"/>
          </w:tcPr>
          <w:p>
            <w:r>
              <w:rPr>
                <w:rFonts w:ascii="黑体" w:hAnsi="黑体" w:eastAsia="黑体"/>
                <w:b/>
                <w:sz w:val="19"/>
              </w:rPr>
              <w:t>典型组件 / 风险</w:t>
            </w:r>
          </w:p>
        </w:tc>
      </w:tr>
      <w:tr>
        <w:tc>
          <w:tcPr>
            <w:tcW w:type="dxa" w:w="4824"/>
          </w:tcPr>
          <w:p>
            <w:r>
              <w:t>Agent框架</w:t>
            </w:r>
          </w:p>
        </w:tc>
        <w:tc>
          <w:tcPr>
            <w:tcW w:type="dxa" w:w="4824"/>
          </w:tcPr>
          <w:p>
            <w:r>
              <w:t>OpenClaw · Hermes · MCP · LangChain · AutoGen —— 第三方Skill含系统级权限</w:t>
            </w:r>
          </w:p>
        </w:tc>
      </w:tr>
      <w:tr>
        <w:tc>
          <w:tcPr>
            <w:tcW w:type="dxa" w:w="4824"/>
          </w:tcPr>
          <w:p>
            <w:r>
              <w:t>训练框架</w:t>
            </w:r>
          </w:p>
        </w:tc>
        <w:tc>
          <w:tcPr>
            <w:tcW w:type="dxa" w:w="4824"/>
          </w:tcPr>
          <w:p>
            <w:r>
              <w:t>PyTorch · DeepSpeed · JAX · HuggingFace —— 模型文件(pickle)可携恶意载荷</w:t>
            </w:r>
          </w:p>
        </w:tc>
      </w:tr>
      <w:tr>
        <w:tc>
          <w:tcPr>
            <w:tcW w:type="dxa" w:w="4824"/>
          </w:tcPr>
          <w:p>
            <w:r>
              <w:t>AI基础库</w:t>
            </w:r>
          </w:p>
        </w:tc>
        <w:tc>
          <w:tcPr>
            <w:tcW w:type="dxa" w:w="4824"/>
          </w:tcPr>
          <w:p>
            <w:r>
              <w:t>OpenCV · NumPy · CUDA/NCCL · llama.cpp —— Java+Python+JNI+C++跨语言调用链</w:t>
            </w:r>
          </w:p>
        </w:tc>
      </w:tr>
      <w:tr>
        <w:tc>
          <w:tcPr>
            <w:tcW w:type="dxa" w:w="4824"/>
          </w:tcPr>
          <w:p>
            <w:r>
              <w:t>通信中间件</w:t>
            </w:r>
          </w:p>
        </w:tc>
        <w:tc>
          <w:tcPr>
            <w:tcW w:type="dxa" w:w="4824"/>
          </w:tcPr>
          <w:p>
            <w:r>
              <w:t>gRPC · Kafka · Redis(Lettuce) · WebSocket —— 运行时必加载，常隐于声明之外</w:t>
            </w:r>
          </w:p>
        </w:tc>
      </w:tr>
    </w:tbl>
    <w:p/>
    <w:p>
      <w:pPr>
        <w:spacing w:before="120" w:after="60"/>
      </w:pPr>
      <w:r>
        <w:rPr>
          <w:rFonts w:ascii="SimHei" w:hAnsi="SimHei" w:eastAsia="黑体"/>
          <w:b/>
          <w:color w:val="1F3C6C"/>
          <w:sz w:val="26"/>
        </w:rPr>
        <w:t>二、三起真实攻击（均有据可查）</w:t>
      </w:r>
    </w:p>
    <w:p>
      <w:pPr>
        <w:spacing w:before="120" w:after="60"/>
      </w:pPr>
      <w:r>
        <w:rPr>
          <w:rFonts w:ascii="SimHei" w:hAnsi="SimHei" w:eastAsia="黑体"/>
          <w:b/>
          <w:sz w:val="22"/>
        </w:rPr>
        <w:t>① OpenClaw ClawHub投毒（2026.1-2）</w:t>
      </w:r>
    </w:p>
    <w:p>
      <w:pPr>
        <w:spacing w:before="40" w:after="40"/>
      </w:pPr>
      <w:r>
        <w:rPr>
          <w:rFonts w:ascii="宋体" w:hAnsi="宋体" w:eastAsia="宋体"/>
          <w:i/>
          <w:color w:val="505050"/>
          <w:sz w:val="18"/>
        </w:rPr>
        <w:t>来源：Koi Security/Cisco/Snyk/Antiy/VirusTotal 联合分析，Censys扫描报告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ClawHub市场 1,184 个恶意Skill包，36.8%的Skill含恶意载荷；单一攻击者上传677个包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窃取SSH私钥、浏览器密码、加密货币钱包，开反向Shell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排名第一Skill含9个漏洞、被下载数千次，排名疑似伪造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OpenClaw已修复 CVE-2026-25253（CVSS 8.8）等 60+ 漏洞；全球 63,070 个实例公网暴露</w:t>
      </w:r>
    </w:p>
    <w:p>
      <w:pPr>
        <w:spacing w:before="120" w:after="60"/>
      </w:pPr>
      <w:r>
        <w:rPr>
          <w:rFonts w:ascii="SimHei" w:hAnsi="SimHei" w:eastAsia="黑体"/>
          <w:b/>
          <w:sz w:val="22"/>
        </w:rPr>
        <w:t>② HuggingFace恶意模型（2025.2）</w:t>
      </w:r>
    </w:p>
    <w:p>
      <w:pPr>
        <w:spacing w:before="40" w:after="40"/>
      </w:pPr>
      <w:r>
        <w:rPr>
          <w:rFonts w:ascii="宋体" w:hAnsi="宋体" w:eastAsia="宋体"/>
          <w:i/>
          <w:color w:val="505050"/>
          <w:sz w:val="18"/>
        </w:rPr>
        <w:t>来源：ReversingLabs，The Hacker News 2025.2.10；PyTorch CVE-2025-32434（CVSS 9.3）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攻击者上传 glockr1/ballr7 等恶意模型，用7z格式绑过Picklescan检测，含硬编码C2 IP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PyTorch torch.load(weights_only=True) 存在RCE漏洞（CVE-2025-32434，CVSS 9.3）</w:t>
      </w:r>
    </w:p>
    <w:p>
      <w:pPr>
        <w:spacing w:before="120" w:after="60"/>
      </w:pPr>
      <w:r>
        <w:rPr>
          <w:rFonts w:ascii="SimHei" w:hAnsi="SimHei" w:eastAsia="黑体"/>
          <w:b/>
          <w:sz w:val="22"/>
        </w:rPr>
        <w:t>③ PyPI/npm供应链持续污染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2024.12：npm包@rspack/core（字节，30万次/周）被植入XMRig，亚马逊/微软/Discord受影响（Sonotype）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2024.7：npm包用图片隐写藏后门，连接远程C2服务器（The Hacker News）</w:t>
      </w:r>
    </w:p>
    <w:p>
      <w:pPr>
        <w:spacing w:before="120" w:after="60"/>
      </w:pPr>
      <w:r>
        <w:rPr>
          <w:rFonts w:ascii="SimHei" w:hAnsi="SimHei" w:eastAsia="黑体"/>
          <w:b/>
          <w:color w:val="1F3C6C"/>
          <w:sz w:val="26"/>
        </w:rPr>
        <w:t>三、现有工具的三个根本缺陷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【多语言盲区】传统SCA只扫pom.xml，对JNI/CUDA原生层完全不可见。实测OWASP DC仅识别68个依赖；drming平台额外发现23个传递依赖+14个跨语言组件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【变种检测空白】攻击者fork合法库+植入后门→发布PyPI/npm，功能级变种让版本号/哈希校验完全失效。软件基因嵌入向量可比对出log4j-custom（89.3%）、guava-lite（87.9%）等变种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【AI代码信任缺失】OpenClaw/Hermes等框架大量代码由AI生成，无人类维护者签名。Skill指令可隐写恶意逻辑，传统代码审计无法覆盖</w:t>
      </w:r>
    </w:p>
    <w:p>
      <w:pPr>
        <w:spacing w:before="120" w:after="60"/>
      </w:pPr>
      <w:r>
        <w:rPr>
          <w:rFonts w:ascii="SimHei" w:hAnsi="SimHei" w:eastAsia="黑体"/>
          <w:b/>
          <w:color w:val="1F3C6C"/>
          <w:sz w:val="26"/>
        </w:rPr>
        <w:t>四、解决思路（drming_demo技术路线）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① 软件基因级变种识别：函数嵌入向量跨库比对，识别二开包/植入后门变种（7类变种89%-97%检出）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② 多语言跨层联合分析：Java层→JNI/C++层→Python层统一建模，追踪CVE从源码到Native的传导路径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③ 攻击路径可达性验证：从HTTP入口→路由→日志→漏洞层，逐层还原完整调用链，过滤假阳性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④ AI基础设施专项检测：Skill静态分析 / pickle模型反序列化审计 / MCP工具链鉴权</w:t>
      </w:r>
    </w:p>
    <w:p>
      <w:pPr>
        <w:spacing w:before="120" w:after="60"/>
      </w:pPr>
      <w:r>
        <w:rPr>
          <w:rFonts w:ascii="SimHei" w:hAnsi="SimHei" w:eastAsia="黑体"/>
          <w:b/>
          <w:color w:val="1F3C6C"/>
          <w:sz w:val="26"/>
        </w:rPr>
        <w:t>结语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AI供应链攻击面正在从"代码依赖"扩展到"模型文件→Skill包→Agent记忆"，防御窗口期正在关闭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传统SCA连一半漏洞都看不到，跨语言+投毒+AI生成代码的三重叠加让形势更为紧迫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