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20"/>
        <w:jc w:val="center"/>
      </w:pPr>
      <w:r>
        <w:rPr>
          <w:rFonts w:ascii="Calibri" w:hAnsi="Calibri" w:eastAsia="微软雅黑"/>
          <w:b/>
          <w:color w:val="1F497D"/>
          <w:sz w:val="30"/>
        </w:rPr>
        <w:t>AI主权基础设施与Claude Mythos：窗口期的战略机遇</w:t>
      </w:r>
    </w:p>
    <w:p>
      <w:pPr>
        <w:spacing w:before="0" w:after="160"/>
        <w:jc w:val="center"/>
      </w:pPr>
      <w:r>
        <w:rPr>
          <w:i/>
          <w:color w:val="606060"/>
          <w:sz w:val="20"/>
        </w:rPr>
        <w:t>——大模型时代的网络安全格局重塑与生产力架构建设</w:t>
      </w:r>
    </w:p>
    <w:p>
      <w:pPr>
        <w:spacing w:before="60" w:after="60"/>
        <w:pBdr>
          <w:bottom w:val="single" w:sz="4" w:space="1" w:color="2E74B5"/>
        </w:pBdr>
      </w:pPr>
    </w:p>
    <w:p>
      <w:pPr>
        <w:spacing w:before="200" w:after="80"/>
      </w:pPr>
      <w:r>
        <w:rPr>
          <w:b/>
          <w:color w:val="1F497D"/>
          <w:sz w:val="24"/>
        </w:rPr>
        <w:t>一、全球AI主权计算竞赛：加拿大的战略布局</w:t>
      </w:r>
    </w:p>
    <w:p>
      <w:pPr>
        <w:spacing w:before="20" w:after="20"/>
      </w:pPr>
      <w:r>
        <w:rPr>
          <w:sz w:val="20"/>
        </w:rPr>
        <w:t>2024年12月5日，加拿大政府正式启动"人工智能计算主权战略"（Sovereign AI Compute Strategy），由创新、科学和工业部长弗朗索瓦-菲利普·香槟（François-Philippe Champagne）宣布，计划五年内投入20亿加元（约14亿美元）。</w:t>
      </w:r>
    </w:p>
    <w:p>
      <w:pPr>
        <w:spacing w:before="200" w:after="80"/>
      </w:pPr>
      <w:r>
        <w:rPr>
          <w:b/>
          <w:color w:val="2E74B5"/>
          <w:sz w:val="22"/>
        </w:rPr>
        <w:t>► 三轨投资结构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2268"/>
            <w:shd w:val="clear" w:color="auto" w:fill="2E74B5"/>
          </w:tcPr>
          <w:p>
            <w:r>
              <w:rPr>
                <w:b/>
                <w:color w:val="FFFFFF"/>
                <w:sz w:val="19"/>
              </w:rPr>
              <w:t>轨道</w:t>
            </w:r>
          </w:p>
        </w:tc>
        <w:tc>
          <w:tcPr>
            <w:tcW w:type="dxa" w:w="3118"/>
            <w:shd w:val="clear" w:color="auto" w:fill="2E74B5"/>
          </w:tcPr>
          <w:p>
            <w:r>
              <w:rPr>
                <w:b/>
                <w:color w:val="FFFFFF"/>
                <w:sz w:val="19"/>
              </w:rPr>
              <w:t>金额</w:t>
            </w:r>
          </w:p>
        </w:tc>
        <w:tc>
          <w:tcPr>
            <w:tcW w:type="dxa" w:w="2551"/>
            <w:shd w:val="clear" w:color="auto" w:fill="2E74B5"/>
          </w:tcPr>
          <w:p>
            <w:r>
              <w:rPr>
                <w:b/>
                <w:color w:val="FFFFFF"/>
                <w:sz w:val="19"/>
              </w:rPr>
              <w:t>目标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b/>
                <w:sz w:val="19"/>
              </w:rPr>
              <w:t>轨道一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19"/>
              </w:rPr>
              <w:t>最高 7 亿加元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19"/>
              </w:rPr>
              <w:t>AI计算挑战——撬动新建/扩建数据中心，扶植"加拿大人工智能冠军"</w:t>
            </w:r>
          </w:p>
        </w:tc>
      </w:tr>
      <w:tr>
        <w:tc>
          <w:tcPr>
            <w:tcW w:type="dxa" w:w="2268"/>
            <w:shd w:val="clear" w:color="auto" w:fill="FFFFFF"/>
          </w:tcPr>
          <w:p>
            <w:r>
              <w:rPr>
                <w:b/>
                <w:sz w:val="19"/>
              </w:rPr>
              <w:t>轨道二</w:t>
            </w:r>
          </w:p>
        </w:tc>
        <w:tc>
          <w:tcPr>
            <w:tcW w:type="dxa" w:w="3118"/>
            <w:shd w:val="clear" w:color="auto" w:fill="FFFFFF"/>
          </w:tcPr>
          <w:p>
            <w:r>
              <w:rPr>
                <w:sz w:val="19"/>
              </w:rPr>
              <w:t>最高 10 亿加元</w:t>
            </w:r>
          </w:p>
        </w:tc>
        <w:tc>
          <w:tcPr>
            <w:tcW w:type="dxa" w:w="2551"/>
            <w:shd w:val="clear" w:color="auto" w:fill="FFFFFF"/>
          </w:tcPr>
          <w:p>
            <w:r>
              <w:rPr>
                <w:sz w:val="19"/>
              </w:rPr>
              <w:t>公共超级计算基础设施——优先工业、学术联合申请，2025年4月14日截止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b/>
                <w:sz w:val="19"/>
              </w:rPr>
              <w:t>轨道三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19"/>
              </w:rPr>
              <w:t>最高 3 亿加元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19"/>
              </w:rPr>
              <w:t>AI计算接入基金——为中小企业提供可负担算力，降低AI使用门槛</w:t>
            </w:r>
          </w:p>
        </w:tc>
      </w:tr>
    </w:tbl>
    <w:p>
      <w:pPr>
        <w:spacing w:before="20" w:after="20"/>
      </w:pPr>
      <w:r>
        <w:rPr>
          <w:sz w:val="20"/>
        </w:rPr>
      </w:r>
    </w:p>
    <w:p>
      <w:pPr>
        <w:spacing w:before="200" w:after="80"/>
      </w:pPr>
      <w:r>
        <w:rPr>
          <w:b/>
          <w:color w:val="2E74B5"/>
          <w:sz w:val="22"/>
        </w:rPr>
        <w:t>► 配套政策与放大效应</w:t>
      </w:r>
    </w:p>
    <w:p>
      <w:pPr>
        <w:pStyle w:val="ListBullet"/>
        <w:spacing w:before="20" w:after="20"/>
        <w:ind w:left="340"/>
      </w:pPr>
      <w:r>
        <w:rPr>
          <w:b/>
          <w:sz w:val="20"/>
        </w:rPr>
        <w:t>微软承诺：</w:t>
      </w:r>
      <w:r>
        <w:rPr>
          <w:sz w:val="20"/>
        </w:rPr>
        <w:t>2027年前向加拿大投入190亿加元（134亿美元），在渥太华扩建本地云；若外国司法机构试图调取数据，将提起法律诉讼对抗。</w:t>
      </w:r>
    </w:p>
    <w:p>
      <w:pPr>
        <w:pStyle w:val="ListBullet"/>
        <w:spacing w:before="20" w:after="20"/>
        <w:ind w:left="340"/>
      </w:pPr>
      <w:r>
        <w:rPr>
          <w:b/>
          <w:sz w:val="20"/>
        </w:rPr>
        <w:t>布鲁克菲尔德资管：</w:t>
      </w:r>
      <w:r>
        <w:rPr>
          <w:sz w:val="20"/>
        </w:rPr>
        <w:t>为其AI基础设施基金募资100亿美元（英伟达、科威特投资局等注资），目标杠杆至1000亿美元。</w:t>
      </w:r>
    </w:p>
    <w:p>
      <w:pPr>
        <w:pStyle w:val="ListBullet"/>
        <w:spacing w:before="20" w:after="20"/>
        <w:ind w:left="340"/>
      </w:pPr>
      <w:r>
        <w:rPr>
          <w:b/>
          <w:sz w:val="20"/>
        </w:rPr>
        <w:t>区域机构配套：</w:t>
      </w:r>
      <w:r>
        <w:rPr>
          <w:sz w:val="20"/>
        </w:rPr>
        <w:t>通过加拿大区域发展机构另拨2亿加元支持AI初创企业，1亿加元注入NRC IRAP AI Assist计划。</w:t>
      </w:r>
    </w:p>
    <w:p>
      <w:pPr>
        <w:spacing w:before="20" w:after="20"/>
      </w:pPr>
      <w:r>
        <w:rPr>
          <w:sz w:val="20"/>
        </w:rPr>
      </w:r>
    </w:p>
    <w:p>
      <w:pPr>
        <w:spacing w:before="20" w:after="20"/>
      </w:pPr>
      <w:r>
        <w:rPr>
          <w:sz w:val="20"/>
        </w:rPr>
        <w:t>影响分析：加拿大将形成"国家资本撬动私人资本 + 算力民主化 + 主权法律承诺"的三位一体AI主权模式。与美国单纯依靠商业公司的路径不同，加拿大模式对全球政府主导型AI基础设施投资具有示范意义。对我方而言，这一路径验证了主权AI战略的可行性，也意味着全球AI算力资源竞争将进一步加剧，窗口期正在收窄。</w:t>
      </w:r>
    </w:p>
    <w:p>
      <w:pPr>
        <w:spacing w:before="60" w:after="60"/>
        <w:pBdr>
          <w:bottom w:val="single" w:sz="4" w:space="1" w:color="2E74B5"/>
        </w:pBdr>
      </w:pPr>
    </w:p>
    <w:p>
      <w:pPr>
        <w:spacing w:before="200" w:after="80"/>
      </w:pPr>
      <w:r>
        <w:rPr>
          <w:b/>
          <w:color w:val="1F497D"/>
          <w:sz w:val="24"/>
        </w:rPr>
        <w:t>二、Claude Mythos：重新定义AI安全边界</w:t>
      </w:r>
    </w:p>
    <w:p>
      <w:pPr>
        <w:spacing w:before="20" w:after="20"/>
      </w:pPr>
      <w:r>
        <w:rPr>
          <w:sz w:val="20"/>
        </w:rPr>
        <w:t>2026年3月26日，Anthropic因内部CMS配置错误意外泄露其新一代模型Claude Mythos；4月7日正式发布预览版。Anthropic称之为"迄今构建的最强模型"，同时宣布暂不对公众开放——理由是"危险程度过高"。</w:t>
      </w:r>
    </w:p>
    <w:p>
      <w:pPr>
        <w:spacing w:before="200" w:after="80"/>
      </w:pPr>
      <w:r>
        <w:rPr>
          <w:b/>
          <w:color w:val="2E74B5"/>
          <w:sz w:val="22"/>
        </w:rPr>
        <w:t>► 核心能力数据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2551"/>
            <w:shd w:val="clear" w:color="auto" w:fill="2E74B5"/>
          </w:tcPr>
          <w:p>
            <w:r>
              <w:rPr>
                <w:b/>
                <w:color w:val="FFFFFF"/>
                <w:sz w:val="19"/>
              </w:rPr>
              <w:t>能力维度</w:t>
            </w:r>
          </w:p>
        </w:tc>
        <w:tc>
          <w:tcPr>
            <w:tcW w:type="dxa" w:w="2551"/>
            <w:shd w:val="clear" w:color="auto" w:fill="2E74B5"/>
          </w:tcPr>
          <w:p>
            <w:r>
              <w:rPr>
                <w:b/>
                <w:color w:val="FFFFFF"/>
                <w:sz w:val="19"/>
              </w:rPr>
              <w:t>Mythos Preview</w:t>
            </w:r>
          </w:p>
        </w:tc>
        <w:tc>
          <w:tcPr>
            <w:tcW w:type="dxa" w:w="2835"/>
            <w:shd w:val="clear" w:color="auto" w:fill="2E74B5"/>
          </w:tcPr>
          <w:p>
            <w:r>
              <w:rPr>
                <w:b/>
                <w:color w:val="FFFFFF"/>
                <w:sz w:val="19"/>
              </w:rPr>
              <w:t>对比基线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19"/>
              </w:rPr>
              <w:t>SWE-bench Verified（代码修复）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b/>
                <w:color w:val="C00000"/>
                <w:sz w:val="19"/>
              </w:rPr>
              <w:t>93.9%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19"/>
              </w:rPr>
              <w:t>Opus 4.6 ≈ 80.8%，提升13个百分点</w:t>
            </w:r>
          </w:p>
        </w:tc>
      </w:tr>
      <w:tr>
        <w:tc>
          <w:tcPr>
            <w:tcW w:type="dxa" w:w="2551"/>
            <w:shd w:val="clear" w:color="auto" w:fill="FFFFFF"/>
          </w:tcPr>
          <w:p>
            <w:r>
              <w:rPr>
                <w:sz w:val="19"/>
              </w:rPr>
              <w:t>CyberGym（漏洞挖掘）</w:t>
            </w:r>
          </w:p>
        </w:tc>
        <w:tc>
          <w:tcPr>
            <w:tcW w:type="dxa" w:w="2551"/>
            <w:shd w:val="clear" w:color="auto" w:fill="FFFFFF"/>
          </w:tcPr>
          <w:p>
            <w:r>
              <w:rPr>
                <w:b/>
                <w:color w:val="C00000"/>
                <w:sz w:val="19"/>
              </w:rPr>
              <w:t>83.1%</w:t>
            </w:r>
          </w:p>
        </w:tc>
        <w:tc>
          <w:tcPr>
            <w:tcW w:type="dxa" w:w="2835"/>
            <w:shd w:val="clear" w:color="auto" w:fill="FFFFFF"/>
          </w:tcPr>
          <w:p>
            <w:r>
              <w:rPr>
                <w:sz w:val="19"/>
              </w:rPr>
              <w:t>Opus 4.6 ≈ 66.6%，领先16.5%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19"/>
              </w:rPr>
              <w:t>零日漏洞发现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b/>
                <w:color w:val="C00000"/>
                <w:sz w:val="19"/>
              </w:rPr>
              <w:t>数千个，覆盖所有主流OS和浏览器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19"/>
              </w:rPr>
              <w:t>其中1个在OpenBSD中潜伏了27年</w:t>
            </w:r>
          </w:p>
        </w:tc>
      </w:tr>
    </w:tbl>
    <w:p>
      <w:pPr>
        <w:spacing w:before="20" w:after="20"/>
      </w:pPr>
      <w:r>
        <w:rPr>
          <w:sz w:val="20"/>
        </w:rPr>
      </w:r>
    </w:p>
    <w:p>
      <w:pPr>
        <w:spacing w:before="200" w:after="80"/>
      </w:pPr>
      <w:r>
        <w:rPr>
          <w:b/>
          <w:color w:val="2E74B5"/>
          <w:sz w:val="22"/>
        </w:rPr>
        <w:t>► Project Glasswing：垄断式防御联盟</w:t>
      </w:r>
    </w:p>
    <w:p>
      <w:pPr>
        <w:spacing w:before="20" w:after="20"/>
      </w:pPr>
      <w:r>
        <w:rPr>
          <w:sz w:val="20"/>
        </w:rPr>
        <w:t>Anthropic同时启动Project Glasswing，联合12家顶级机构组建"防御联盟"：</w:t>
      </w:r>
    </w:p>
    <w:p>
      <w:pPr>
        <w:pStyle w:val="ListBullet"/>
        <w:spacing w:before="20" w:after="20"/>
        <w:ind w:left="340"/>
      </w:pPr>
      <w:r>
        <w:rPr>
          <w:sz w:val="20"/>
        </w:rPr>
        <w:t>科技巨头：Amazon（AWS）、Apple、Broadcom、Cisco、Google、Microsoft、NVIDIA</w:t>
      </w:r>
    </w:p>
    <w:p>
      <w:pPr>
        <w:pStyle w:val="ListBullet"/>
        <w:spacing w:before="20" w:after="20"/>
        <w:ind w:left="340"/>
      </w:pPr>
      <w:r>
        <w:rPr>
          <w:sz w:val="20"/>
        </w:rPr>
        <w:t>安全厂商：CrowdStrike、Palo Alto Networks</w:t>
      </w:r>
    </w:p>
    <w:p>
      <w:pPr>
        <w:pStyle w:val="ListBullet"/>
        <w:spacing w:before="20" w:after="20"/>
        <w:ind w:left="340"/>
      </w:pPr>
      <w:r>
        <w:rPr>
          <w:sz w:val="20"/>
        </w:rPr>
        <w:t>金融机构：JPMorganChase</w:t>
      </w:r>
    </w:p>
    <w:p>
      <w:pPr>
        <w:pStyle w:val="ListBullet"/>
        <w:spacing w:before="20" w:after="20"/>
        <w:ind w:left="340"/>
      </w:pPr>
      <w:r>
        <w:rPr>
          <w:sz w:val="20"/>
        </w:rPr>
        <w:t>开源生态：Linux Foundation</w:t>
      </w:r>
    </w:p>
    <w:p>
      <w:pPr>
        <w:pStyle w:val="ListBullet"/>
        <w:spacing w:before="20" w:after="20"/>
        <w:ind w:left="340"/>
      </w:pPr>
      <w:r>
        <w:rPr>
          <w:sz w:val="20"/>
        </w:rPr>
        <w:t>AI公司：Anthropic（发起方）+ 40余家关键基础设施机构</w:t>
      </w:r>
    </w:p>
    <w:p>
      <w:pPr>
        <w:spacing w:before="20" w:after="20"/>
      </w:pPr>
      <w:r>
        <w:rPr>
          <w:sz w:val="20"/>
        </w:rPr>
        <w:t>资源投入：Anthropic提供1亿美元模型调用额度，合作伙伴免费使用。联盟成员将Mythos优先用于查找并修复自身基础系统中的漏洞——换言之，全球最重要的软件基础设施正在用最强AI"体检"，而这种能力被封闭在美国主导的圈子里。</w:t>
      </w:r>
    </w:p>
    <w:p>
      <w:pPr>
        <w:spacing w:before="200" w:after="80"/>
      </w:pPr>
      <w:r>
        <w:rPr>
          <w:b/>
          <w:color w:val="2E74B5"/>
          <w:sz w:val="22"/>
        </w:rPr>
        <w:t>► Mythos能力的两面性：对安全的双重影响</w:t>
      </w:r>
    </w:p>
    <w:p>
      <w:pPr>
        <w:spacing w:before="20" w:after="20"/>
      </w:pPr>
      <w:r>
        <w:rPr>
          <w:sz w:val="20"/>
        </w:rPr>
        <w:t>Mythos的出现揭示了一个根本性转变：</w:t>
      </w:r>
    </w:p>
    <w:p>
      <w:pPr>
        <w:pStyle w:val="ListBullet"/>
        <w:spacing w:before="20" w:after="20"/>
        <w:ind w:left="340"/>
      </w:pPr>
      <w:r>
        <w:rPr>
          <w:b/>
          <w:sz w:val="20"/>
        </w:rPr>
        <w:t>攻击维度：</w:t>
      </w:r>
      <w:r>
        <w:rPr>
          <w:sz w:val="20"/>
        </w:rPr>
        <w:t>安全研究员已用Claude Opus辅助构建完整Chrome V8漏洞利用链（远程代码执行）。Mythos的推理能力意味着漏洞利用链的构建将从"顶级黑客的专属技能"变为"可批量复制的能力"。</w:t>
      </w:r>
    </w:p>
    <w:p>
      <w:pPr>
        <w:pStyle w:val="ListBullet"/>
        <w:spacing w:before="20" w:after="20"/>
        <w:ind w:left="340"/>
      </w:pPr>
      <w:r>
        <w:rPr>
          <w:b/>
          <w:sz w:val="20"/>
        </w:rPr>
        <w:t>防御维度：</w:t>
      </w:r>
      <w:r>
        <w:rPr>
          <w:sz w:val="20"/>
        </w:rPr>
        <w:t>Mythos在完全自主状态下发现了数千个高危零日漏洞，涵盖了所有主流操作系统和浏览器——这意味着防御方同样获得了前所未有的漏洞发现能力。</w:t>
      </w:r>
    </w:p>
    <w:p>
      <w:pPr>
        <w:spacing w:before="20" w:after="20"/>
      </w:pPr>
      <w:r>
        <w:rPr>
          <w:sz w:val="20"/>
        </w:rPr>
        <w:t>关键判断：AI时代，逻辑推理能力是安全攻防的核心竞争力。Mythos在推理和代码理解上的代际领先，意味着它既能大幅提升漏洞挖掘效率，也能将漏洞利用的门槛降至接近零。这对全球网络安全格局是一次根本性冲击，所有人的技术起点正在被拉平。</w:t>
      </w:r>
    </w:p>
    <w:p>
      <w:pPr>
        <w:spacing w:before="60" w:after="60"/>
        <w:pBdr>
          <w:bottom w:val="single" w:sz="4" w:space="1" w:color="2E74B5"/>
        </w:pBdr>
      </w:pPr>
    </w:p>
    <w:p>
      <w:pPr>
        <w:spacing w:before="200" w:after="80"/>
      </w:pPr>
      <w:r>
        <w:rPr>
          <w:b/>
          <w:color w:val="1F497D"/>
          <w:sz w:val="24"/>
        </w:rPr>
        <w:t>三、窗口期内的双重发力：模型能力与能力榨取</w:t>
      </w:r>
    </w:p>
    <w:p>
      <w:pPr>
        <w:spacing w:before="20" w:after="20"/>
      </w:pPr>
      <w:r>
        <w:rPr>
          <w:sz w:val="20"/>
        </w:rPr>
        <w:t>窗口期判断：这一轮AI驱动安全变革的窗口期预计为2-3年。窗口期结束后，全球将基于新生产力工具重新洗牌。在此期间，我们必须在两个维度同步发力：</w:t>
      </w:r>
    </w:p>
    <w:p>
      <w:pPr>
        <w:spacing w:before="200" w:after="80"/>
      </w:pPr>
      <w:r>
        <w:rPr>
          <w:b/>
          <w:color w:val="2E74B5"/>
          <w:sz w:val="22"/>
        </w:rPr>
        <w:t>► 维度一：加强自身模型能力（内核建设）</w:t>
      </w:r>
    </w:p>
    <w:p>
      <w:pPr>
        <w:pStyle w:val="ListBullet"/>
        <w:spacing w:before="20" w:after="20"/>
        <w:ind w:left="340"/>
      </w:pPr>
      <w:r>
        <w:rPr>
          <w:sz w:val="20"/>
        </w:rPr>
        <w:t>基座大模型：发展覆盖通用推理、安全知识、代码理解的全能型基座模型，具备与Mythos对标的漏洞发现与利用能力</w:t>
      </w:r>
    </w:p>
    <w:p>
      <w:pPr>
        <w:pStyle w:val="ListBullet"/>
        <w:spacing w:before="20" w:after="20"/>
        <w:ind w:left="340"/>
      </w:pPr>
      <w:r>
        <w:rPr>
          <w:sz w:val="20"/>
        </w:rPr>
        <w:t>垂域大模型：针对Web安全、漏洞利用、恶意代码分析等垂直领域精调，构建专项安全能力超越通用模型的"专精"路径</w:t>
      </w:r>
    </w:p>
    <w:p>
      <w:pPr>
        <w:pStyle w:val="ListBullet"/>
        <w:spacing w:before="20" w:after="20"/>
        <w:ind w:left="340"/>
      </w:pPr>
      <w:r>
        <w:rPr>
          <w:sz w:val="20"/>
        </w:rPr>
        <w:t>模型安全：确保自身模型不被投毒、不被供应链攻击、不产生prompt泄漏——模型自身安全是生产力的根基</w:t>
      </w:r>
    </w:p>
    <w:p>
      <w:pPr>
        <w:spacing w:before="200" w:after="80"/>
      </w:pPr>
      <w:r>
        <w:rPr>
          <w:b/>
          <w:color w:val="2E74B5"/>
          <w:sz w:val="22"/>
        </w:rPr>
        <w:t>► 维度二：榨取模型能力（外延放大）</w:t>
      </w:r>
    </w:p>
    <w:p>
      <w:pPr>
        <w:pStyle w:val="ListBullet"/>
        <w:spacing w:before="20" w:after="20"/>
        <w:ind w:left="340"/>
      </w:pPr>
      <w:r>
        <w:rPr>
          <w:sz w:val="20"/>
        </w:rPr>
        <w:t>智能体框架：构建定向智能体编排框架，将模型能力封装为可复用的自动化工作流，覆盖漏洞挖掘→漏洞利用→风险分析→态势感知全流程</w:t>
      </w:r>
    </w:p>
    <w:p>
      <w:pPr>
        <w:pStyle w:val="ListBullet"/>
        <w:spacing w:before="20" w:after="20"/>
        <w:ind w:left="340"/>
      </w:pPr>
      <w:r>
        <w:rPr>
          <w:sz w:val="20"/>
        </w:rPr>
        <w:t>垂直智能体生态：针对不同安全场景（渗透测试、红队攻防、代码审计、威胁情报）发展专项智能体，形成"特工小队"式协同作战能力</w:t>
      </w:r>
    </w:p>
    <w:p>
      <w:pPr>
        <w:pStyle w:val="ListBullet"/>
        <w:spacing w:before="20" w:after="20"/>
        <w:ind w:left="340"/>
      </w:pPr>
      <w:r>
        <w:rPr>
          <w:sz w:val="20"/>
        </w:rPr>
        <w:t>人机协同：将模型能力与人类专家经验结合，构建"AI放大镜 + 专家判断"的混合决策模式，避免过度依赖模型产生幻觉风险</w:t>
      </w:r>
    </w:p>
    <w:p>
      <w:pPr>
        <w:spacing w:before="200" w:after="80"/>
      </w:pPr>
      <w:r>
        <w:rPr>
          <w:b/>
          <w:color w:val="2E74B5"/>
          <w:sz w:val="22"/>
        </w:rPr>
        <w:t>► 全套生产力架构蓝图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  <w:shd w:val="clear" w:color="auto" w:fill="2E74B5"/>
          </w:tcPr>
          <w:p>
            <w:r>
              <w:rPr>
                <w:b/>
                <w:color w:val="FFFFFF"/>
                <w:sz w:val="19"/>
              </w:rPr>
              <w:t>层次</w:t>
            </w:r>
          </w:p>
        </w:tc>
        <w:tc>
          <w:tcPr>
            <w:tcW w:type="dxa" w:w="5102"/>
            <w:shd w:val="clear" w:color="auto" w:fill="2E74B5"/>
          </w:tcPr>
          <w:p>
            <w:r>
              <w:rPr>
                <w:b/>
                <w:color w:val="FFFFFF"/>
                <w:sz w:val="19"/>
              </w:rPr>
              <w:t>覆盖内容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b/>
                <w:sz w:val="19"/>
              </w:rPr>
              <w:t>大模型自身安全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19"/>
              </w:rPr>
              <w:t>模型防投毒、训练数据审计、推理边界控制、RLHF对齐验证</w:t>
            </w:r>
          </w:p>
        </w:tc>
      </w:tr>
      <w:tr>
        <w:tc>
          <w:tcPr>
            <w:tcW w:type="dxa" w:w="2835"/>
            <w:shd w:val="clear" w:color="auto" w:fill="FFFFFF"/>
          </w:tcPr>
          <w:p>
            <w:r>
              <w:rPr>
                <w:b/>
                <w:sz w:val="19"/>
              </w:rPr>
              <w:t>漏洞挖掘</w:t>
            </w:r>
          </w:p>
        </w:tc>
        <w:tc>
          <w:tcPr>
            <w:tcW w:type="dxa" w:w="5102"/>
            <w:shd w:val="clear" w:color="auto" w:fill="FFFFFF"/>
          </w:tcPr>
          <w:p>
            <w:r>
              <w:rPr>
                <w:sz w:val="19"/>
              </w:rPr>
              <w:t>自动化代码审计、固件分析、二进制漏洞定位、模糊测试引导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b/>
                <w:sz w:val="19"/>
              </w:rPr>
              <w:t>漏洞利用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19"/>
              </w:rPr>
              <w:t>漏洞利用链自动构建、EXP生成、权限维持路径规划</w:t>
            </w:r>
          </w:p>
        </w:tc>
      </w:tr>
      <w:tr>
        <w:tc>
          <w:tcPr>
            <w:tcW w:type="dxa" w:w="2835"/>
            <w:shd w:val="clear" w:color="auto" w:fill="FFFFFF"/>
          </w:tcPr>
          <w:p>
            <w:r>
              <w:rPr>
                <w:b/>
                <w:sz w:val="19"/>
              </w:rPr>
              <w:t>风险分析</w:t>
            </w:r>
          </w:p>
        </w:tc>
        <w:tc>
          <w:tcPr>
            <w:tcW w:type="dxa" w:w="5102"/>
            <w:shd w:val="clear" w:color="auto" w:fill="FFFFFF"/>
          </w:tcPr>
          <w:p>
            <w:r>
              <w:rPr>
                <w:sz w:val="19"/>
              </w:rPr>
              <w:t>攻击面评估、CVSS评分、影响范围量化、修复优先级排序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b/>
                <w:sz w:val="19"/>
              </w:rPr>
              <w:t>态势感知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19"/>
              </w:rPr>
              <w:t>实时威胁情报接入、大规模扫描结果聚合、攻击趋势预测</w:t>
            </w:r>
          </w:p>
        </w:tc>
      </w:tr>
    </w:tbl>
    <w:p>
      <w:pPr>
        <w:spacing w:before="20" w:after="20"/>
      </w:pPr>
      <w:r>
        <w:rPr>
          <w:sz w:val="20"/>
        </w:rPr>
      </w:r>
    </w:p>
    <w:p>
      <w:pPr>
        <w:spacing w:before="200" w:after="80"/>
      </w:pPr>
      <w:r>
        <w:rPr>
          <w:b/>
          <w:color w:val="2E74B5"/>
          <w:sz w:val="22"/>
        </w:rPr>
        <w:t>► 打破国外技术压制：可持续发展的安全架构</w:t>
      </w:r>
    </w:p>
    <w:p>
      <w:pPr>
        <w:spacing w:before="20" w:after="20"/>
      </w:pPr>
      <w:r>
        <w:rPr>
          <w:sz w:val="20"/>
        </w:rPr>
        <w:t>核心目标：在窗口期内，形成一套完整的、有自主可控根基的生产力工具链，确保窗口期结束后，我方拥有成熟的、可持续迭代的安全生产能力，而非被动使用他国技术标准。</w:t>
      </w:r>
    </w:p>
    <w:p>
      <w:pPr>
        <w:pStyle w:val="ListBullet"/>
        <w:spacing w:before="20" w:after="20"/>
        <w:ind w:left="340"/>
      </w:pPr>
      <w:r>
        <w:rPr>
          <w:sz w:val="20"/>
        </w:rPr>
        <w:t>基座模型自主：避免对单一海外模型的路径依赖，建立国产安全大模型梯队</w:t>
      </w:r>
    </w:p>
    <w:p>
      <w:pPr>
        <w:pStyle w:val="ListBullet"/>
        <w:spacing w:before="20" w:after="20"/>
        <w:ind w:left="340"/>
      </w:pPr>
      <w:r>
        <w:rPr>
          <w:sz w:val="20"/>
        </w:rPr>
        <w:t>工具链内循环：智能体框架、漏洞库、PoC库、评估基准全部自主可控，形成内循环生态</w:t>
      </w:r>
    </w:p>
    <w:p>
      <w:pPr>
        <w:pStyle w:val="ListBullet"/>
        <w:spacing w:before="20" w:after="20"/>
        <w:ind w:left="340"/>
      </w:pPr>
      <w:r>
        <w:rPr>
          <w:sz w:val="20"/>
        </w:rPr>
        <w:t>标准化输出：形成我可定义、他国需跟随的安全能力标准和评估体系</w:t>
      </w:r>
    </w:p>
    <w:p>
      <w:pPr>
        <w:spacing w:before="60" w:after="60"/>
        <w:pBdr>
          <w:bottom w:val="single" w:sz="4" w:space="1" w:color="2E74B5"/>
        </w:pBdr>
      </w:pPr>
    </w:p>
    <w:p>
      <w:pPr>
        <w:spacing w:before="200" w:after="80"/>
      </w:pPr>
      <w:r>
        <w:rPr>
          <w:b/>
          <w:color w:val="1F497D"/>
          <w:sz w:val="24"/>
        </w:rPr>
        <w:t>四、结语：窗口期不等人</w:t>
      </w:r>
    </w:p>
    <w:p>
      <w:pPr>
        <w:spacing w:before="20" w:after="20"/>
      </w:pPr>
      <w:r>
        <w:rPr>
          <w:sz w:val="20"/>
        </w:rPr>
        <w:t>Claude Mythos的发布和Project Glasswing的形成，标志着一个新时代的开始：AI不再是单点工具，而是重新定义攻防规则的基础设施。在这个窗口期内，有两件事必须同时做：</w:t>
      </w:r>
    </w:p>
    <w:p>
      <w:pPr>
        <w:pStyle w:val="ListBullet"/>
        <w:spacing w:before="20" w:after="20"/>
        <w:ind w:left="340"/>
      </w:pPr>
      <w:r>
        <w:rPr>
          <w:b/>
          <w:sz w:val="20"/>
        </w:rPr>
        <w:t>内强：</w:t>
      </w:r>
      <w:r>
        <w:rPr>
          <w:sz w:val="20"/>
        </w:rPr>
        <w:t>全力发展自主安全大模型，从能力上对标甚至超越Mythos/Opus体系</w:t>
      </w:r>
    </w:p>
    <w:p>
      <w:pPr>
        <w:pStyle w:val="ListBullet"/>
        <w:spacing w:before="20" w:after="20"/>
        <w:ind w:left="340"/>
      </w:pPr>
      <w:r>
        <w:rPr>
          <w:b/>
          <w:sz w:val="20"/>
        </w:rPr>
        <w:t>外榨：</w:t>
      </w:r>
      <w:r>
        <w:rPr>
          <w:sz w:val="20"/>
        </w:rPr>
        <w:t>构建定向智能体框架，最大化榨取现有模型的安全生产能力，转化为实战工具</w:t>
      </w:r>
    </w:p>
    <w:p>
      <w:pPr>
        <w:spacing w:before="20" w:after="20"/>
      </w:pPr>
      <w:r>
        <w:rPr>
          <w:sz w:val="20"/>
        </w:rPr>
        <w:t>AI时代重新定义了网络安全的起点——所有人的技术代差正在被快速压缩。这是挑战，更是机遇。窗口期过后，全球将基于这一套新的生产力工具重新出发。我们现在发力的每一步，都将决定窗口期结束后，我们站在什么位置。</w:t>
      </w:r>
    </w:p>
    <w:p>
      <w:pPr>
        <w:spacing w:before="20" w:after="20"/>
      </w:pPr>
      <w:r>
        <w:rPr>
          <w:sz w:val="20"/>
        </w:rPr>
      </w:r>
    </w:p>
    <w:p>
      <w:pPr>
        <w:spacing w:before="80"/>
      </w:pPr>
      <w:r>
        <w:rPr>
          <w:i/>
          <w:color w:val="808080"/>
          <w:sz w:val="16"/>
        </w:rPr>
        <w:t>主要信息来源：加拿大政府2024年预算 / Innovation, Science and Economic Development Canada；Anthropic官方博客（2026年4月7日）；CSDN/IT之家/南方周末等科技媒体对Claude Mythos的公开报道。</w:t>
      </w:r>
    </w:p>
    <w:sectPr w:rsidR="00FC693F" w:rsidRPr="0006063C" w:rsidSect="00034616">
      <w:pgSz w:w="11906" w:h="16838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宋体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