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 w:eastAsia="微软雅黑"/>
          <w:b/>
          <w:color w:val="1F497D"/>
          <w:sz w:val="32"/>
        </w:rPr>
        <w:t>AI主权基础设施与Claude Mythos：窗口期的战略机遇</w:t>
      </w:r>
    </w:p>
    <w:p>
      <w:pPr>
        <w:spacing w:before="0" w:after="200"/>
        <w:jc w:val="center"/>
      </w:pPr>
      <w:r>
        <w:rPr>
          <w:i/>
          <w:color w:val="606060"/>
          <w:sz w:val="22"/>
        </w:rPr>
        <w:t>——大模型时代的网络安全格局重塑与生产力架构建设</w:t>
      </w:r>
    </w:p>
    <w:p>
      <w:pPr>
        <w:spacing w:before="80" w:after="80"/>
        <w:pBdr>
          <w:bottom w:val="single" w:sz="4" w:space="1" w:color="2E74B5"/>
        </w:pBdr>
      </w:pPr>
    </w:p>
    <w:p>
      <w:pPr>
        <w:spacing w:before="0" w:after="40"/>
        <w:jc w:val="right"/>
      </w:pPr>
      <w:r>
        <w:rPr>
          <w:i/>
          <w:color w:val="C06000"/>
          <w:sz w:val="18"/>
        </w:rPr>
        <w:t>「约1分钟」</w:t>
      </w:r>
    </w:p>
    <w:p>
      <w:pPr>
        <w:spacing w:before="240" w:after="80"/>
      </w:pPr>
      <w:r>
        <w:rPr>
          <w:b/>
          <w:color w:val="1F497D"/>
          <w:sz w:val="24"/>
        </w:rPr>
        <w:t>开场</w:t>
      </w:r>
    </w:p>
    <w:p>
      <w:pPr>
        <w:spacing w:before="40" w:after="40"/>
      </w:pPr>
      <w:r>
        <w:rPr>
          <w:sz w:val="21"/>
        </w:rPr>
        <w:t>各位好，今天我想用大约十分钟时间，和大家聊一聊最近 AI 领域两个正在同步发生、但很少被放在一起审视的变量。</w:t>
      </w:r>
    </w:p>
    <w:p>
      <w:pPr>
        <w:spacing w:before="40" w:after="40"/>
      </w:pPr>
      <w:r>
        <w:rPr>
          <w:sz w:val="21"/>
        </w:rPr>
        <w:t>一个是主权国家在 AI 算力基础设施上的战略布局正在加速；另一个是 AI 模型本身的能力跃升，特别是推理能力，正在从根本上重新定义网络安全的游戏规则。</w:t>
      </w:r>
    </w:p>
    <w:p>
      <w:pPr>
        <w:spacing w:before="40" w:after="40"/>
      </w:pPr>
      <w:r>
        <w:rPr>
          <w:sz w:val="21"/>
        </w:rPr>
        <w:t>这两件事放在一起，指向一个核心判断：我们正在进入一个大约 2 到 3 年的窗口期。窗口期内，所有人的技术起点会被快速拉平；窗口期结束后，全球将基于这一套新的生产力工具重新出发。</w:t>
      </w:r>
    </w:p>
    <w:p>
      <w:pPr>
        <w:spacing w:before="40" w:after="40"/>
      </w:pPr>
      <w:r>
        <w:rPr>
          <w:sz w:val="21"/>
        </w:rPr>
        <w:t>今天我的发言分为三个部分：第一，我们先把加拿大的 AI 主权战略搞清楚，分析一下它的影响；第二，拆解 Claude Mythos，看看大模型推理能力的跃升对安全意味着什么；第三，谈谈窗口期内我们在模型能力和能力榨取两个维度上应该如何发力。</w:t>
      </w:r>
    </w:p>
    <w:p>
      <w:pPr>
        <w:spacing w:before="80" w:after="80"/>
        <w:pBdr>
          <w:bottom w:val="single" w:sz="4" w:space="1" w:color="2E74B5"/>
        </w:pBdr>
      </w:pPr>
    </w:p>
    <w:p>
      <w:pPr>
        <w:spacing w:before="0" w:after="40"/>
        <w:jc w:val="right"/>
      </w:pPr>
      <w:r>
        <w:rPr>
          <w:i/>
          <w:color w:val="C06000"/>
          <w:sz w:val="18"/>
        </w:rPr>
        <w:t>「约1-4分钟」</w:t>
      </w:r>
    </w:p>
    <w:p>
      <w:pPr>
        <w:spacing w:before="240" w:after="80"/>
      </w:pPr>
      <w:r>
        <w:rPr>
          <w:b/>
          <w:color w:val="1F497D"/>
          <w:sz w:val="24"/>
        </w:rPr>
        <w:t>一、加拿大的 AI 主权计算战略</w:t>
      </w:r>
    </w:p>
    <w:p>
      <w:pPr>
        <w:spacing w:before="40" w:after="40"/>
      </w:pPr>
      <w:r>
        <w:rPr>
          <w:sz w:val="21"/>
        </w:rPr>
        <w:t>先说第一部分。2024 年 12 月 5 日，加拿大政府正式启动了一项叫"人工智能计算主权战略"的五年计划，由创新、科学和工业部长弗朗索瓦-菲利普·香槟宣布。核心内容是从 2024 年到 2029 年，投入 20 亿加元，大约 14 亿美元，来确保加拿大的 AI 算力不依赖外国云服务商。</w:t>
      </w:r>
    </w:p>
    <w:p>
      <w:pPr>
        <w:spacing w:before="160" w:after="40"/>
      </w:pPr>
      <w:r>
        <w:rPr>
          <w:b/>
          <w:color w:val="2E74B5"/>
          <w:sz w:val="22"/>
        </w:rPr>
        <w:t>► 三轨投资：国家资本撬动算力主权</w:t>
      </w:r>
    </w:p>
    <w:p>
      <w:pPr>
        <w:spacing w:before="40" w:after="40"/>
      </w:pPr>
      <w:r>
        <w:rPr>
          <w:sz w:val="21"/>
        </w:rPr>
        <w:t>这 20 亿加元分为三个轨道：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2154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轨道</w:t>
            </w:r>
          </w:p>
        </w:tc>
        <w:tc>
          <w:tcPr>
            <w:tcW w:type="dxa" w:w="2381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金额</w:t>
            </w:r>
          </w:p>
        </w:tc>
        <w:tc>
          <w:tcPr>
            <w:tcW w:type="dxa" w:w="3118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目标</w:t>
            </w:r>
          </w:p>
        </w:tc>
      </w:tr>
      <w:tr>
        <w:tc>
          <w:tcPr>
            <w:tcW w:type="dxa" w:w="2154"/>
            <w:shd w:val="clear" w:color="auto" w:fill="DEEAF1"/>
          </w:tcPr>
          <w:p>
            <w:r>
              <w:rPr>
                <w:b/>
                <w:sz w:val="19"/>
              </w:rPr>
              <w:t>轨道一</w:t>
            </w:r>
          </w:p>
        </w:tc>
        <w:tc>
          <w:tcPr>
            <w:tcW w:type="dxa" w:w="2381"/>
            <w:shd w:val="clear" w:color="auto" w:fill="DEEAF1"/>
          </w:tcPr>
          <w:p>
            <w:r>
              <w:rPr>
                <w:sz w:val="19"/>
              </w:rPr>
              <w:t>最高 7 亿加元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19"/>
              </w:rPr>
              <w:t>AI计算挑战——撬动新建/扩建数据中心，扶植"加拿大人工智能冠军"</w:t>
            </w:r>
          </w:p>
        </w:tc>
      </w:tr>
      <w:tr>
        <w:tc>
          <w:tcPr>
            <w:tcW w:type="dxa" w:w="2154"/>
            <w:shd w:val="clear" w:color="auto" w:fill="FFFFFF"/>
          </w:tcPr>
          <w:p>
            <w:r>
              <w:rPr>
                <w:b/>
                <w:sz w:val="19"/>
              </w:rPr>
              <w:t>轨道二</w:t>
            </w:r>
          </w:p>
        </w:tc>
        <w:tc>
          <w:tcPr>
            <w:tcW w:type="dxa" w:w="2381"/>
            <w:shd w:val="clear" w:color="auto" w:fill="FFFFFF"/>
          </w:tcPr>
          <w:p>
            <w:r>
              <w:rPr>
                <w:sz w:val="19"/>
              </w:rPr>
              <w:t>最高 10 亿加元</w:t>
            </w:r>
          </w:p>
        </w:tc>
        <w:tc>
          <w:tcPr>
            <w:tcW w:type="dxa" w:w="3118"/>
            <w:shd w:val="clear" w:color="auto" w:fill="FFFFFF"/>
          </w:tcPr>
          <w:p>
            <w:r>
              <w:rPr>
                <w:sz w:val="19"/>
              </w:rPr>
              <w:t>公共超级计算基础设施——优先工业、学术联合申请</w:t>
            </w:r>
          </w:p>
        </w:tc>
      </w:tr>
      <w:tr>
        <w:tc>
          <w:tcPr>
            <w:tcW w:type="dxa" w:w="2154"/>
            <w:shd w:val="clear" w:color="auto" w:fill="DEEAF1"/>
          </w:tcPr>
          <w:p>
            <w:r>
              <w:rPr>
                <w:b/>
                <w:sz w:val="19"/>
              </w:rPr>
              <w:t>轨道三</w:t>
            </w:r>
          </w:p>
        </w:tc>
        <w:tc>
          <w:tcPr>
            <w:tcW w:type="dxa" w:w="2381"/>
            <w:shd w:val="clear" w:color="auto" w:fill="DEEAF1"/>
          </w:tcPr>
          <w:p>
            <w:r>
              <w:rPr>
                <w:sz w:val="19"/>
              </w:rPr>
              <w:t>最高 3 亿加元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19"/>
              </w:rPr>
              <w:t>AI计算接入基金——为中小企业提供可负担算力</w:t>
            </w:r>
          </w:p>
        </w:tc>
      </w:tr>
    </w:tbl>
    <w:p>
      <w:pPr>
        <w:spacing w:before="40" w:after="40"/>
      </w:pPr>
      <w:r>
        <w:rPr>
          <w:sz w:val="21"/>
        </w:rPr>
      </w:r>
    </w:p>
    <w:p>
      <w:pPr>
        <w:spacing w:before="160" w:after="40"/>
      </w:pPr>
      <w:r>
        <w:rPr>
          <w:b/>
          <w:color w:val="2E74B5"/>
          <w:sz w:val="22"/>
        </w:rPr>
        <w:t>► 配套资本：微软 190 亿加元 + 布鲁克菲尔德 100 亿美元基金</w:t>
      </w:r>
    </w:p>
    <w:p>
      <w:pPr>
        <w:spacing w:before="40" w:after="40"/>
      </w:pPr>
      <w:r>
        <w:rPr>
          <w:sz w:val="21"/>
        </w:rPr>
        <w:t>这 20 亿只是国家资本的种子。同期，微软宣布到 2027 年向加拿大投入 190 亿加元，约合 134 亿美元，在渥太华扩建本地云，并明确承诺：如果外国司法机构试图调取存储在加拿大的数据，微软将提起法律诉讼对抗。这个承诺非常关键——它意味着"数据主权"不只是说说，而是有商业主体愿意用法律手段背书。</w:t>
      </w:r>
    </w:p>
    <w:p>
      <w:pPr>
        <w:spacing w:before="40" w:after="40"/>
      </w:pPr>
      <w:r>
        <w:rPr>
          <w:sz w:val="21"/>
        </w:rPr>
        <w:t>同时，加拿大本土资管巨头布鲁克菲尔德宣布为其 AI 基础设施基金募资 100 亿美元，英伟达和科威特投资局是主要出资方，目标是杠杆放大到 1000 亿美元。</w:t>
      </w:r>
    </w:p>
    <w:p>
      <w:pPr>
        <w:spacing w:before="160" w:after="40"/>
      </w:pPr>
      <w:r>
        <w:rPr>
          <w:b/>
          <w:color w:val="2E74B5"/>
          <w:sz w:val="22"/>
        </w:rPr>
        <w:t>► 影响分析：三位一体模式与全球竞争加剧</w:t>
      </w:r>
    </w:p>
    <w:p>
      <w:pPr>
        <w:spacing w:before="40" w:after="40"/>
      </w:pPr>
      <w:r>
        <w:rPr>
          <w:sz w:val="21"/>
        </w:rPr>
        <w:t>我把加拿大这套做法总结为"三位一体"：国家资本撬动私人资本，算力民主化降低使用门槛，主权法律承诺保障数据不被他国长臂管辖。</w:t>
      </w:r>
    </w:p>
    <w:p>
      <w:pPr>
        <w:spacing w:before="40" w:after="40"/>
      </w:pPr>
      <w:r>
        <w:rPr>
          <w:sz w:val="21"/>
        </w:rPr>
        <w:t>和美国单纯依靠商业公司自建算力的路径相比，加拿大模式对全球政府主导型 AI 基础设施建设有示范意义。更重要的是，这对我们意味着什么？意味着全球 AI 算力资源的竞争正在进一步加剧，资源争夺会更加激烈。</w:t>
      </w:r>
    </w:p>
    <w:p>
      <w:pPr>
        <w:spacing w:before="80" w:after="80"/>
        <w:pBdr>
          <w:bottom w:val="single" w:sz="4" w:space="1" w:color="2E74B5"/>
        </w:pBdr>
      </w:pPr>
    </w:p>
    <w:p>
      <w:pPr>
        <w:spacing w:before="0" w:after="40"/>
        <w:jc w:val="right"/>
      </w:pPr>
      <w:r>
        <w:rPr>
          <w:i/>
          <w:color w:val="C06000"/>
          <w:sz w:val="18"/>
        </w:rPr>
        <w:t>「约4-7分钟」</w:t>
      </w:r>
    </w:p>
    <w:p>
      <w:pPr>
        <w:spacing w:before="240" w:after="80"/>
      </w:pPr>
      <w:r>
        <w:rPr>
          <w:b/>
          <w:color w:val="1F497D"/>
          <w:sz w:val="24"/>
        </w:rPr>
        <w:t>二、Claude Mythos：大模型推理能力重新定义安全边界</w:t>
      </w:r>
    </w:p>
    <w:p>
      <w:pPr>
        <w:spacing w:before="40" w:after="40"/>
      </w:pPr>
      <w:r>
        <w:rPr>
          <w:sz w:val="21"/>
        </w:rPr>
        <w:t>说完主权基础设施，再来看模型本身。2026 年 3 月底，AI 行业发生了一件极具戏剧性的事件：Anthropic 的新一代模型 Claude Mythos，因为内部一处 CMS 配置错误，意外泄露了近 3000 份内部材料，包括未发布的博客草稿和 PPT。4 月 7 日，Anthropic 正式发布该模型的预览版，同时宣布了一个前所未有的决定——暂不对公众开放，理由是"危险程度过高"。</w:t>
      </w:r>
    </w:p>
    <w:p>
      <w:pPr>
        <w:spacing w:before="160" w:after="40"/>
      </w:pPr>
      <w:r>
        <w:rPr>
          <w:b/>
          <w:color w:val="2E74B5"/>
          <w:sz w:val="22"/>
        </w:rPr>
        <w:t>► 数据说话：领先幅度是代际级的</w:t>
      </w:r>
    </w:p>
    <w:p>
      <w:pPr>
        <w:spacing w:before="40" w:after="40"/>
      </w:pPr>
      <w:r>
        <w:rPr>
          <w:sz w:val="21"/>
        </w:rPr>
        <w:t>来看看 Mythos 的核心能力指标：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2381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能力维度</w:t>
            </w:r>
          </w:p>
        </w:tc>
        <w:tc>
          <w:tcPr>
            <w:tcW w:type="dxa" w:w="2154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Mythos Preview</w:t>
            </w:r>
          </w:p>
        </w:tc>
        <w:tc>
          <w:tcPr>
            <w:tcW w:type="dxa" w:w="3118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对比基线</w:t>
            </w:r>
          </w:p>
        </w:tc>
      </w:tr>
      <w:tr>
        <w:tc>
          <w:tcPr>
            <w:tcW w:type="dxa" w:w="2381"/>
            <w:shd w:val="clear" w:color="auto" w:fill="DEEAF1"/>
          </w:tcPr>
          <w:p>
            <w:r>
              <w:rPr>
                <w:sz w:val="19"/>
              </w:rPr>
              <w:t>SWE-bench Verified（代码修复）</w:t>
            </w:r>
          </w:p>
        </w:tc>
        <w:tc>
          <w:tcPr>
            <w:tcW w:type="dxa" w:w="2154"/>
            <w:shd w:val="clear" w:color="auto" w:fill="DEEAF1"/>
          </w:tcPr>
          <w:p>
            <w:r>
              <w:rPr>
                <w:b/>
                <w:color w:val="C00000"/>
                <w:sz w:val="19"/>
              </w:rPr>
              <w:t>93.9%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19"/>
              </w:rPr>
              <w:t>Opus 4.6 ≈ 80.8%，提升13个百分点</w:t>
            </w:r>
          </w:p>
        </w:tc>
      </w:tr>
      <w:tr>
        <w:tc>
          <w:tcPr>
            <w:tcW w:type="dxa" w:w="2381"/>
            <w:shd w:val="clear" w:color="auto" w:fill="FFFFFF"/>
          </w:tcPr>
          <w:p>
            <w:r>
              <w:rPr>
                <w:sz w:val="19"/>
              </w:rPr>
              <w:t>CyberGym（漏洞挖掘）</w:t>
            </w:r>
          </w:p>
        </w:tc>
        <w:tc>
          <w:tcPr>
            <w:tcW w:type="dxa" w:w="2154"/>
            <w:shd w:val="clear" w:color="auto" w:fill="FFFFFF"/>
          </w:tcPr>
          <w:p>
            <w:r>
              <w:rPr>
                <w:b/>
                <w:color w:val="C00000"/>
                <w:sz w:val="19"/>
              </w:rPr>
              <w:t>83.1%</w:t>
            </w:r>
          </w:p>
        </w:tc>
        <w:tc>
          <w:tcPr>
            <w:tcW w:type="dxa" w:w="3118"/>
            <w:shd w:val="clear" w:color="auto" w:fill="FFFFFF"/>
          </w:tcPr>
          <w:p>
            <w:r>
              <w:rPr>
                <w:sz w:val="19"/>
              </w:rPr>
              <w:t>Opus 4.6 ≈ 66.6%，领先16.5%</w:t>
            </w:r>
          </w:p>
        </w:tc>
      </w:tr>
      <w:tr>
        <w:tc>
          <w:tcPr>
            <w:tcW w:type="dxa" w:w="2381"/>
            <w:shd w:val="clear" w:color="auto" w:fill="DEEAF1"/>
          </w:tcPr>
          <w:p>
            <w:r>
              <w:rPr>
                <w:sz w:val="19"/>
              </w:rPr>
              <w:t>零日漏洞发现</w:t>
            </w:r>
          </w:p>
        </w:tc>
        <w:tc>
          <w:tcPr>
            <w:tcW w:type="dxa" w:w="2154"/>
            <w:shd w:val="clear" w:color="auto" w:fill="DEEAF1"/>
          </w:tcPr>
          <w:p>
            <w:r>
              <w:rPr>
                <w:b/>
                <w:color w:val="C00000"/>
                <w:sz w:val="19"/>
              </w:rPr>
              <w:t>数千个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19"/>
              </w:rPr>
              <w:t>覆盖所有主流OS和浏览器，含OpenBSD潜伏27年老洞</w:t>
            </w:r>
          </w:p>
        </w:tc>
      </w:tr>
    </w:tbl>
    <w:p>
      <w:pPr>
        <w:spacing w:before="40" w:after="40"/>
      </w:pPr>
      <w:r>
        <w:rPr>
          <w:sz w:val="21"/>
        </w:rPr>
      </w:r>
    </w:p>
    <w:p>
      <w:pPr>
        <w:spacing w:before="160" w:after="40"/>
      </w:pPr>
      <w:r>
        <w:rPr>
          <w:b/>
          <w:color w:val="2E74B5"/>
          <w:sz w:val="22"/>
        </w:rPr>
        <w:t>► Project Glasswing：封闭的防御联盟</w:t>
      </w:r>
    </w:p>
    <w:p>
      <w:pPr>
        <w:spacing w:before="40" w:after="40"/>
      </w:pPr>
      <w:r>
        <w:rPr>
          <w:sz w:val="21"/>
        </w:rPr>
        <w:t>紧接着，Anthropic 启动了 Project Glasswing，拉了一个"防御联盟"，首批成员包括：亚马逊 AWS、苹果、博通、思科、谷歌、微软、英伟达；安全厂商 CrowdStrike、Palo Alto Networks；金融机构摩根大通；以及 Linux Foundation。另有 40 余家关键基础设施机构获得研究预览访问权。</w:t>
      </w:r>
    </w:p>
    <w:p>
      <w:pPr>
        <w:spacing w:before="40" w:after="40"/>
      </w:pPr>
      <w:r>
        <w:rPr>
          <w:sz w:val="21"/>
        </w:rPr>
        <w:t>Anthropic 提供 1 亿美元模型调用额度，联盟成员免费使用。简单说：全球最重要软件基础设施正在用最强 AI 做"体检"，而这种能力被封闭在美国主导的圈子里。</w:t>
      </w:r>
    </w:p>
    <w:p>
      <w:pPr>
        <w:spacing w:before="160" w:after="40"/>
      </w:pPr>
      <w:r>
        <w:rPr>
          <w:b/>
          <w:color w:val="2E74B5"/>
          <w:sz w:val="22"/>
        </w:rPr>
        <w:t>► 能力的双重性：既是矛，也是盾</w:t>
      </w:r>
    </w:p>
    <w:p>
      <w:pPr>
        <w:spacing w:before="40" w:after="40"/>
      </w:pPr>
      <w:r>
        <w:rPr>
          <w:sz w:val="21"/>
        </w:rPr>
        <w:t>这里我想特别强调一点：Mythos 揭示了大模型推理能力的"两面性"。</w:t>
      </w:r>
    </w:p>
    <w:p>
      <w:pPr>
        <w:spacing w:before="20" w:after="20"/>
        <w:ind w:left="340"/>
      </w:pPr>
      <w:r>
        <w:rPr>
          <w:b/>
          <w:sz w:val="21"/>
        </w:rPr>
        <w:t>攻击维度：</w:t>
      </w:r>
      <w:r>
        <w:rPr>
          <w:sz w:val="21"/>
        </w:rPr>
        <w:t>安全研究人员已经成功引导 Claude Opus 构建了完整的 Google Chrome V8 引擎漏洞利用链，实现了远程代码执行。Mythos 的推理能力意味着，漏洞利用链的构建将从"顶级黑客的专属技能"变成"可批量复制的能力"。</w:t>
      </w:r>
    </w:p>
    <w:p>
      <w:pPr>
        <w:spacing w:before="20" w:after="20"/>
        <w:ind w:left="340"/>
      </w:pPr>
      <w:r>
        <w:rPr>
          <w:b/>
          <w:sz w:val="21"/>
        </w:rPr>
        <w:t>防御维度：</w:t>
      </w:r>
      <w:r>
        <w:rPr>
          <w:sz w:val="21"/>
        </w:rPr>
        <w:t>Mythos 在完全自主状态下发现了数千个高危零日漏洞，涵盖所有主流操作系统和浏览器——其中最老的一个在 OpenBSD 里潜伏了 27 年。这意味着防御方同样获得了前所未有的漏洞发现能力。</w:t>
      </w:r>
    </w:p>
    <w:p>
      <w:pPr>
        <w:spacing w:before="40" w:after="40"/>
      </w:pPr>
      <w:r>
        <w:rPr>
          <w:sz w:val="21"/>
        </w:rPr>
        <w:t>所以我的核心判断是：AI 时代，逻辑推理能力是安全攻防的核心竞争力。Mythos 在推理和代码理解上的代际领先，意味着它既能大幅提升漏洞挖掘的效率，也能将漏洞利用的门槛降至接近零。这对全球网络安全格局是一次根本性冲击——所有人的技术起点正在被快速拉平。</w:t>
      </w:r>
    </w:p>
    <w:p>
      <w:pPr>
        <w:spacing w:before="80" w:after="80"/>
        <w:pBdr>
          <w:bottom w:val="single" w:sz="4" w:space="1" w:color="2E74B5"/>
        </w:pBdr>
      </w:pPr>
    </w:p>
    <w:p>
      <w:pPr>
        <w:spacing w:before="0" w:after="40"/>
        <w:jc w:val="right"/>
      </w:pPr>
      <w:r>
        <w:rPr>
          <w:i/>
          <w:color w:val="C06000"/>
          <w:sz w:val="18"/>
        </w:rPr>
        <w:t>「约7-10分钟」</w:t>
      </w:r>
    </w:p>
    <w:p>
      <w:pPr>
        <w:spacing w:before="240" w:after="80"/>
      </w:pPr>
      <w:r>
        <w:rPr>
          <w:b/>
          <w:color w:val="1F497D"/>
          <w:sz w:val="24"/>
        </w:rPr>
        <w:t>三、窗口期双重发力：模型能力 + 能力榨取</w:t>
      </w:r>
    </w:p>
    <w:p>
      <w:pPr>
        <w:spacing w:before="40" w:after="40"/>
      </w:pPr>
      <w:r>
        <w:rPr>
          <w:sz w:val="21"/>
        </w:rPr>
        <w:t>那么，在这个 2 到 3 年的窗口期内，我们应该怎么干？我认为必须在两个维度同步发力，缺一不可。</w:t>
      </w:r>
    </w:p>
    <w:p>
      <w:pPr>
        <w:spacing w:before="160" w:after="40"/>
      </w:pPr>
      <w:r>
        <w:rPr>
          <w:b/>
          <w:color w:val="2E74B5"/>
          <w:sz w:val="22"/>
        </w:rPr>
        <w:t>► 维度一：加强自身模型能力——内核建设</w:t>
      </w:r>
    </w:p>
    <w:p>
      <w:pPr>
        <w:spacing w:before="20" w:after="20"/>
        <w:ind w:left="340"/>
      </w:pPr>
      <w:r>
        <w:rPr>
          <w:b/>
          <w:sz w:val="21"/>
        </w:rPr>
        <w:t>基座大模型：</w:t>
      </w:r>
      <w:r>
        <w:rPr>
          <w:sz w:val="21"/>
        </w:rPr>
        <w:t>发展覆盖通用推理、安全知识、代码理解的全能型基座模型，能力上对标甚至超越 Mythos/Opus 体系。</w:t>
      </w:r>
    </w:p>
    <w:p>
      <w:pPr>
        <w:spacing w:before="20" w:after="20"/>
        <w:ind w:left="340"/>
      </w:pPr>
      <w:r>
        <w:rPr>
          <w:b/>
          <w:sz w:val="21"/>
        </w:rPr>
        <w:t>垂域大模型：</w:t>
      </w:r>
      <w:r>
        <w:rPr>
          <w:sz w:val="21"/>
        </w:rPr>
        <w:t>针对 Web 安全、漏洞利用、恶意代码分析等垂直领域精调，走"专精"路径，在专项能力上形成对通用模型的超越。</w:t>
      </w:r>
    </w:p>
    <w:p>
      <w:pPr>
        <w:spacing w:before="20" w:after="20"/>
        <w:ind w:left="340"/>
      </w:pPr>
      <w:r>
        <w:rPr>
          <w:b/>
          <w:sz w:val="21"/>
        </w:rPr>
        <w:t>模型自身安全：</w:t>
      </w:r>
      <w:r>
        <w:rPr>
          <w:sz w:val="21"/>
        </w:rPr>
        <w:t>确保自身模型不被投毒、不被供应链攻击、不产生 Prompt 泄漏——模型安全是生产力的根基，根基不稳，一切皆是空中楼阁。</w:t>
      </w:r>
    </w:p>
    <w:p>
      <w:pPr>
        <w:spacing w:before="160" w:after="40"/>
      </w:pPr>
      <w:r>
        <w:rPr>
          <w:b/>
          <w:color w:val="2E74B5"/>
          <w:sz w:val="22"/>
        </w:rPr>
        <w:t>► 维度二：榨取模型能力——外延放大</w:t>
      </w:r>
    </w:p>
    <w:p>
      <w:pPr>
        <w:spacing w:before="20" w:after="20"/>
        <w:ind w:left="340"/>
      </w:pPr>
      <w:r>
        <w:rPr>
          <w:b/>
          <w:sz w:val="21"/>
        </w:rPr>
        <w:t>定向智能体框架：</w:t>
      </w:r>
      <w:r>
        <w:rPr>
          <w:sz w:val="21"/>
        </w:rPr>
        <w:t>构建可编排的智能体框架，将模型能力封装为可复用的自动化工作流，覆盖漏洞挖掘、漏洞利用、风险分析、态势感知的全流程。</w:t>
      </w:r>
    </w:p>
    <w:p>
      <w:pPr>
        <w:spacing w:before="20" w:after="20"/>
        <w:ind w:left="340"/>
      </w:pPr>
      <w:r>
        <w:rPr>
          <w:b/>
          <w:sz w:val="21"/>
        </w:rPr>
        <w:t>垂直智能体生态：</w:t>
      </w:r>
      <w:r>
        <w:rPr>
          <w:sz w:val="21"/>
        </w:rPr>
        <w:t>针对不同安全场景——渗透测试、红队攻防、代码审计、威胁情报——发展专项智能体，形成"特工小队"式协同作战能力。</w:t>
      </w:r>
    </w:p>
    <w:p>
      <w:pPr>
        <w:spacing w:before="20" w:after="20"/>
        <w:ind w:left="340"/>
      </w:pPr>
      <w:r>
        <w:rPr>
          <w:b/>
          <w:sz w:val="21"/>
        </w:rPr>
        <w:t>人机协同：</w:t>
      </w:r>
      <w:r>
        <w:rPr>
          <w:sz w:val="21"/>
        </w:rPr>
        <w:t>构建"AI 放大镜 + 专家判断"的混合决策模式，避免过度依赖模型产生幻觉风险，专家的经验判断永远是最后一道防线。</w:t>
      </w:r>
    </w:p>
    <w:p>
      <w:pPr>
        <w:spacing w:before="160" w:after="40"/>
      </w:pPr>
      <w:r>
        <w:rPr>
          <w:b/>
          <w:color w:val="2E74B5"/>
          <w:sz w:val="22"/>
        </w:rPr>
        <w:t>► 全套生产力架构：从漏洞发现到态势感知</w:t>
      </w:r>
    </w:p>
    <w:p>
      <w:pPr>
        <w:spacing w:before="40" w:after="40"/>
      </w:pPr>
      <w:r>
        <w:rPr>
          <w:sz w:val="21"/>
        </w:rPr>
        <w:t>最终目标是形成覆盖以下五个层次的生产力架构：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551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层次</w:t>
            </w:r>
          </w:p>
        </w:tc>
        <w:tc>
          <w:tcPr>
            <w:tcW w:type="dxa" w:w="5102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覆盖内容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b/>
                <w:sz w:val="19"/>
              </w:rPr>
              <w:t>大模型自身安全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19"/>
              </w:rPr>
              <w:t>模型防投毒、训练数据审计、推理边界控制、RLHF对齐验证</w:t>
            </w:r>
          </w:p>
        </w:tc>
      </w:tr>
      <w:tr>
        <w:tc>
          <w:tcPr>
            <w:tcW w:type="dxa" w:w="2551"/>
            <w:shd w:val="clear" w:color="auto" w:fill="FFFFFF"/>
          </w:tcPr>
          <w:p>
            <w:r>
              <w:rPr>
                <w:b/>
                <w:sz w:val="19"/>
              </w:rPr>
              <w:t>漏洞挖掘</w:t>
            </w:r>
          </w:p>
        </w:tc>
        <w:tc>
          <w:tcPr>
            <w:tcW w:type="dxa" w:w="5102"/>
            <w:shd w:val="clear" w:color="auto" w:fill="FFFFFF"/>
          </w:tcPr>
          <w:p>
            <w:r>
              <w:rPr>
                <w:sz w:val="19"/>
              </w:rPr>
              <w:t>自动化代码审计、固件分析、二进制漏洞定位、模糊测试引导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b/>
                <w:sz w:val="19"/>
              </w:rPr>
              <w:t>漏洞利用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19"/>
              </w:rPr>
              <w:t>漏洞利用链自动构建、EXP生成、权限维持路径规划</w:t>
            </w:r>
          </w:p>
        </w:tc>
      </w:tr>
      <w:tr>
        <w:tc>
          <w:tcPr>
            <w:tcW w:type="dxa" w:w="2551"/>
            <w:shd w:val="clear" w:color="auto" w:fill="FFFFFF"/>
          </w:tcPr>
          <w:p>
            <w:r>
              <w:rPr>
                <w:b/>
                <w:sz w:val="19"/>
              </w:rPr>
              <w:t>风险分析</w:t>
            </w:r>
          </w:p>
        </w:tc>
        <w:tc>
          <w:tcPr>
            <w:tcW w:type="dxa" w:w="5102"/>
            <w:shd w:val="clear" w:color="auto" w:fill="FFFFFF"/>
          </w:tcPr>
          <w:p>
            <w:r>
              <w:rPr>
                <w:sz w:val="19"/>
              </w:rPr>
              <w:t>攻击面评估、CVSS评分、影响范围量化、修复优先级排序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b/>
                <w:sz w:val="19"/>
              </w:rPr>
              <w:t>态势感知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19"/>
              </w:rPr>
              <w:t>实时威胁情报接入、大规模扫描结果聚合、攻击趋势预测</w:t>
            </w:r>
          </w:p>
        </w:tc>
      </w:tr>
    </w:tbl>
    <w:p>
      <w:pPr>
        <w:spacing w:before="40" w:after="40"/>
      </w:pPr>
      <w:r>
        <w:rPr>
          <w:sz w:val="21"/>
        </w:rPr>
      </w:r>
    </w:p>
    <w:p>
      <w:pPr>
        <w:spacing w:before="160" w:after="40"/>
      </w:pPr>
      <w:r>
        <w:rPr>
          <w:b/>
          <w:color w:val="2E74B5"/>
          <w:sz w:val="22"/>
        </w:rPr>
        <w:t>► 打破国外压制，形成自主可控的安全生产体系</w:t>
      </w:r>
    </w:p>
    <w:p>
      <w:pPr>
        <w:spacing w:before="40" w:after="40"/>
      </w:pPr>
      <w:r>
        <w:rPr>
          <w:sz w:val="21"/>
        </w:rPr>
        <w:t>最终目标，是在窗口期内形成一套完整的、有自主可控根基的生产力工具链：基座模型自主、工具链内循环、标准体系自定。确保窗口期结束后，我方拥有成熟的、可持续迭代的安全生产能力，而非被动使用他国技术标准。</w:t>
      </w:r>
    </w:p>
    <w:p>
      <w:pPr>
        <w:spacing w:before="80" w:after="80"/>
        <w:pBdr>
          <w:bottom w:val="single" w:sz="4" w:space="1" w:color="2E74B5"/>
        </w:pBdr>
      </w:pPr>
    </w:p>
    <w:p>
      <w:pPr>
        <w:spacing w:before="0" w:after="40"/>
        <w:jc w:val="right"/>
      </w:pPr>
      <w:r>
        <w:rPr>
          <w:i/>
          <w:color w:val="C06000"/>
          <w:sz w:val="18"/>
        </w:rPr>
        <w:t>「约10分钟」</w:t>
      </w:r>
    </w:p>
    <w:p>
      <w:pPr>
        <w:spacing w:before="240" w:after="80"/>
      </w:pPr>
      <w:r>
        <w:rPr>
          <w:b/>
          <w:color w:val="1F497D"/>
          <w:sz w:val="24"/>
        </w:rPr>
        <w:t>结语：窗口期不等人</w:t>
      </w:r>
    </w:p>
    <w:p>
      <w:pPr>
        <w:spacing w:before="40" w:after="40"/>
      </w:pPr>
      <w:r>
        <w:rPr>
          <w:sz w:val="21"/>
        </w:rPr>
        <w:t>总结一下今天的三点核心判断：</w:t>
      </w:r>
    </w:p>
    <w:p>
      <w:pPr>
        <w:spacing w:before="20" w:after="20"/>
        <w:ind w:left="340"/>
      </w:pPr>
      <w:r>
        <w:rPr>
          <w:b/>
          <w:sz w:val="21"/>
        </w:rPr>
        <w:t>第一，</w:t>
      </w:r>
      <w:r>
        <w:rPr>
          <w:sz w:val="21"/>
        </w:rPr>
        <w:t>全球 AI 算力资源的主权化竞争正在加速，加拿大模式证明了政府主导路径的可行性，这对我们是参照，也是竞争压力。</w:t>
      </w:r>
    </w:p>
    <w:p>
      <w:pPr>
        <w:spacing w:before="20" w:after="20"/>
        <w:ind w:left="340"/>
      </w:pPr>
      <w:r>
        <w:rPr>
          <w:b/>
          <w:sz w:val="21"/>
        </w:rPr>
        <w:t>第二，</w:t>
      </w:r>
      <w:r>
        <w:rPr>
          <w:sz w:val="21"/>
        </w:rPr>
        <w:t>Claude Mythos 的出现标志着大模型推理能力已跨越临界点——攻击和防御的门槛都在被 AI 重新定义，技术起点的拉平意味着窗口期的的确确存在。</w:t>
      </w:r>
    </w:p>
    <w:p>
      <w:pPr>
        <w:spacing w:before="20" w:after="20"/>
        <w:ind w:left="340"/>
      </w:pPr>
      <w:r>
        <w:rPr>
          <w:b/>
          <w:sz w:val="21"/>
        </w:rPr>
        <w:t>第三，</w:t>
      </w:r>
      <w:r>
        <w:rPr>
          <w:sz w:val="21"/>
        </w:rPr>
        <w:t>窗口期内，我们必须在内强模型能力、外榨模型能力两个维度同步发力，形成覆盖安全全流程的自主生产力架构。</w:t>
      </w:r>
    </w:p>
    <w:p>
      <w:pPr>
        <w:spacing w:before="40" w:after="40"/>
      </w:pPr>
      <w:r>
        <w:rPr>
          <w:sz w:val="21"/>
        </w:rPr>
        <w:t>AI 时代重新定义了网络安全的起点。所有人的技术代差正在被快速压缩。这是挑战，更是机遇。窗口期过后，全球将基于这一套新的生产力工具重新出发。我们现在发力的每一步，都将决定窗口期结束后，我们站在什么位置。</w:t>
      </w:r>
    </w:p>
    <w:p>
      <w:pPr>
        <w:spacing w:before="40" w:after="40"/>
      </w:pPr>
      <w:r>
        <w:rPr>
          <w:sz w:val="21"/>
        </w:rPr>
        <w:t>谢谢大家。</w:t>
      </w:r>
    </w:p>
    <w:p>
      <w:pPr>
        <w:spacing w:before="80" w:after="80"/>
        <w:pBdr>
          <w:bottom w:val="single" w:sz="4" w:space="1" w:color="2E74B5"/>
        </w:pBdr>
      </w:pPr>
    </w:p>
    <w:p>
      <w:r>
        <w:rPr>
          <w:i/>
          <w:color w:val="808080"/>
          <w:sz w:val="16"/>
        </w:rPr>
        <w:t>信息来源：加拿大政府2024年预算（Innovation, Science and Economic Development Canada）；Anthropic官方博客（2026年4月7日）；CSDN/IT之家/南方周末/七牛云等科技媒体公开报道。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