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5F1" w14:textId="0F5307C2" w:rsidR="002F03D8" w:rsidRDefault="00421444">
      <w:pPr>
        <w:spacing w:before="80" w:after="80"/>
        <w:jc w:val="center"/>
        <w:rPr>
          <w:lang w:eastAsia="zh-CN"/>
        </w:rPr>
      </w:pPr>
      <w:r>
        <w:rPr>
          <w:rFonts w:hint="eastAsia"/>
          <w:b/>
          <w:color w:val="0E1525"/>
          <w:sz w:val="36"/>
          <w:lang w:eastAsia="zh-CN"/>
        </w:rPr>
        <w:t>浙江大学大模型辅助</w:t>
      </w:r>
      <w:r>
        <w:rPr>
          <w:b/>
          <w:color w:val="0E1525"/>
          <w:sz w:val="36"/>
          <w:lang w:eastAsia="zh-CN"/>
        </w:rPr>
        <w:t>代码安全审计平台</w:t>
      </w:r>
    </w:p>
    <w:p w14:paraId="1FEE45C4" w14:textId="77777777" w:rsidR="002F03D8" w:rsidRDefault="00000000">
      <w:pPr>
        <w:spacing w:after="120"/>
        <w:jc w:val="center"/>
        <w:rPr>
          <w:lang w:eastAsia="zh-CN"/>
        </w:rPr>
      </w:pPr>
      <w:r>
        <w:rPr>
          <w:color w:val="666666"/>
          <w:sz w:val="24"/>
          <w:lang w:eastAsia="zh-CN"/>
        </w:rPr>
        <w:t>成果简介与技术概览</w:t>
      </w:r>
    </w:p>
    <w:p w14:paraId="12F72362" w14:textId="77777777" w:rsidR="002F03D8" w:rsidRDefault="00000000">
      <w:pPr>
        <w:spacing w:before="80" w:after="80"/>
        <w:jc w:val="center"/>
        <w:rPr>
          <w:lang w:eastAsia="zh-CN"/>
        </w:rPr>
      </w:pPr>
      <w:r>
        <w:rPr>
          <w:color w:val="BBBBBB"/>
          <w:sz w:val="16"/>
          <w:lang w:eastAsia="zh-CN"/>
        </w:rPr>
        <w:t>— — —</w:t>
      </w:r>
    </w:p>
    <w:p w14:paraId="2E151C67" w14:textId="77777777" w:rsidR="002F03D8" w:rsidRDefault="00000000">
      <w:pPr>
        <w:spacing w:before="200"/>
      </w:pPr>
      <w:proofErr w:type="spellStart"/>
      <w:r>
        <w:rPr>
          <w:b/>
          <w:color w:val="1A1A1A"/>
          <w:sz w:val="26"/>
        </w:rPr>
        <w:t>一、背景简介</w:t>
      </w:r>
      <w:proofErr w:type="spellEnd"/>
    </w:p>
    <w:p w14:paraId="4C199D30" w14:textId="0762BF82" w:rsidR="002F03D8" w:rsidRDefault="00000000" w:rsidP="004332F8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随着大语言模型在</w:t>
      </w:r>
      <w:r w:rsidR="004332F8">
        <w:rPr>
          <w:rFonts w:hint="eastAsia"/>
          <w:color w:val="333333"/>
          <w:sz w:val="20"/>
          <w:lang w:eastAsia="zh-CN"/>
        </w:rPr>
        <w:t>安全</w:t>
      </w:r>
      <w:r>
        <w:rPr>
          <w:color w:val="333333"/>
          <w:sz w:val="20"/>
          <w:lang w:eastAsia="zh-CN"/>
        </w:rPr>
        <w:t>领域的深入应用，</w:t>
      </w:r>
      <w:r w:rsidR="004332F8">
        <w:rPr>
          <w:rFonts w:hint="eastAsia"/>
          <w:lang w:eastAsia="zh-CN"/>
        </w:rPr>
        <w:t>以</w:t>
      </w:r>
      <w:r>
        <w:rPr>
          <w:color w:val="333333"/>
          <w:sz w:val="20"/>
          <w:lang w:eastAsia="zh-CN"/>
        </w:rPr>
        <w:t>Claude Code Security 的</w:t>
      </w:r>
      <w:r w:rsidR="004332F8">
        <w:rPr>
          <w:rFonts w:hint="eastAsia"/>
          <w:color w:val="333333"/>
          <w:sz w:val="20"/>
          <w:lang w:eastAsia="zh-CN"/>
        </w:rPr>
        <w:t>为代表的安全审计软件逐渐盛行。其</w:t>
      </w:r>
      <w:r>
        <w:rPr>
          <w:color w:val="333333"/>
          <w:sz w:val="20"/>
          <w:lang w:eastAsia="zh-CN"/>
        </w:rPr>
        <w:t>核心定位是能够在 PR 评审、代码提交等环节实时提供安全反馈。</w:t>
      </w:r>
      <w:r w:rsidR="0078508C">
        <w:rPr>
          <w:rFonts w:hint="eastAsia"/>
          <w:color w:val="333333"/>
          <w:sz w:val="20"/>
          <w:lang w:eastAsia="zh-CN"/>
        </w:rPr>
        <w:t>同时借助Claude Code Opus的模型能力，可以通过</w:t>
      </w:r>
      <w:proofErr w:type="gramStart"/>
      <w:r w:rsidR="0078508C">
        <w:rPr>
          <w:rFonts w:hint="eastAsia"/>
          <w:color w:val="333333"/>
          <w:sz w:val="20"/>
          <w:lang w:eastAsia="zh-CN"/>
        </w:rPr>
        <w:t>简单</w:t>
      </w:r>
      <w:r w:rsidR="004332F8">
        <w:rPr>
          <w:rFonts w:hint="eastAsia"/>
          <w:color w:val="333333"/>
          <w:sz w:val="20"/>
          <w:lang w:eastAsia="zh-CN"/>
        </w:rPr>
        <w:t>大</w:t>
      </w:r>
      <w:proofErr w:type="gramEnd"/>
      <w:r w:rsidR="004332F8">
        <w:rPr>
          <w:rFonts w:hint="eastAsia"/>
          <w:color w:val="333333"/>
          <w:sz w:val="20"/>
          <w:lang w:eastAsia="zh-CN"/>
        </w:rPr>
        <w:t>模型</w:t>
      </w:r>
      <w:r w:rsidR="0078508C">
        <w:rPr>
          <w:rFonts w:hint="eastAsia"/>
          <w:color w:val="333333"/>
          <w:sz w:val="20"/>
          <w:lang w:eastAsia="zh-CN"/>
        </w:rPr>
        <w:t>编排实现代码安全审计功能。</w:t>
      </w:r>
    </w:p>
    <w:p w14:paraId="0DB01448" w14:textId="6B494520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然而，安全评审与漏洞发现是两个不同层次的问题。安全评审关注的是"当前变更是否引入风险"，而漏洞发现关注的是"整个代码仓库中是否存在可利用的安全缺陷"。后者</w:t>
      </w:r>
      <w:r w:rsidR="0078508C">
        <w:rPr>
          <w:rFonts w:hint="eastAsia"/>
          <w:color w:val="333333"/>
          <w:sz w:val="20"/>
          <w:lang w:eastAsia="zh-CN"/>
        </w:rPr>
        <w:t>不仅需要代码审计能力，更</w:t>
      </w:r>
      <w:r>
        <w:rPr>
          <w:color w:val="333333"/>
          <w:sz w:val="20"/>
          <w:lang w:eastAsia="zh-CN"/>
        </w:rPr>
        <w:t>需要全仓级别的代码理解、攻击面建模、跨模块链路追踪与证据链构建能力</w:t>
      </w:r>
      <w:r w:rsidR="0078508C">
        <w:rPr>
          <w:rFonts w:hint="eastAsia"/>
          <w:color w:val="333333"/>
          <w:sz w:val="20"/>
          <w:lang w:eastAsia="zh-CN"/>
        </w:rPr>
        <w:t>。这其中，模型上下文限制、模型幻觉、注意力涣散等问题将直接影响漏洞挖掘效果，</w:t>
      </w:r>
      <w:r w:rsidR="00182D9E">
        <w:rPr>
          <w:rFonts w:hint="eastAsia"/>
          <w:color w:val="333333"/>
          <w:sz w:val="20"/>
          <w:lang w:eastAsia="zh-CN"/>
        </w:rPr>
        <w:t>大模型审计须依赖良好的安全架构工作</w:t>
      </w:r>
      <w:proofErr w:type="gramStart"/>
      <w:r w:rsidR="00182D9E">
        <w:rPr>
          <w:rFonts w:hint="eastAsia"/>
          <w:color w:val="333333"/>
          <w:sz w:val="20"/>
          <w:lang w:eastAsia="zh-CN"/>
        </w:rPr>
        <w:t>流设计</w:t>
      </w:r>
      <w:proofErr w:type="gramEnd"/>
      <w:r w:rsidR="00182D9E">
        <w:rPr>
          <w:rFonts w:hint="eastAsia"/>
          <w:color w:val="333333"/>
          <w:sz w:val="20"/>
          <w:lang w:eastAsia="zh-CN"/>
        </w:rPr>
        <w:t>与事实支撑，</w:t>
      </w:r>
      <w:r>
        <w:rPr>
          <w:color w:val="333333"/>
          <w:sz w:val="20"/>
          <w:lang w:eastAsia="zh-CN"/>
        </w:rPr>
        <w:t>这正是本平台的核心定位所在。</w:t>
      </w:r>
    </w:p>
    <w:p w14:paraId="2784DEBD" w14:textId="4691B20D" w:rsidR="002F03D8" w:rsidRDefault="0078508C">
      <w:pPr>
        <w:spacing w:before="200"/>
      </w:pPr>
      <w:r>
        <w:rPr>
          <w:rFonts w:hint="eastAsia"/>
          <w:b/>
          <w:color w:val="1A1A1A"/>
          <w:sz w:val="26"/>
          <w:lang w:eastAsia="zh-CN"/>
        </w:rPr>
        <w:t>二</w:t>
      </w:r>
      <w:r>
        <w:rPr>
          <w:b/>
          <w:color w:val="1A1A1A"/>
          <w:sz w:val="26"/>
        </w:rPr>
        <w:t>、</w:t>
      </w:r>
      <w:proofErr w:type="spellStart"/>
      <w:r>
        <w:rPr>
          <w:b/>
          <w:color w:val="1A1A1A"/>
          <w:sz w:val="26"/>
        </w:rPr>
        <w:t>平台核心特点</w:t>
      </w:r>
      <w:proofErr w:type="spellEnd"/>
    </w:p>
    <w:p w14:paraId="2F61B355" w14:textId="77777777" w:rsidR="002F03D8" w:rsidRPr="00182D9E" w:rsidRDefault="00000000">
      <w:pPr>
        <w:pStyle w:val="a0"/>
        <w:spacing w:after="30"/>
        <w:rPr>
          <w:lang w:eastAsia="zh-CN"/>
        </w:rPr>
      </w:pPr>
      <w:r w:rsidRPr="004332F8">
        <w:rPr>
          <w:b/>
          <w:bCs/>
          <w:color w:val="333333"/>
          <w:sz w:val="19"/>
          <w:lang w:eastAsia="zh-CN"/>
        </w:rPr>
        <w:t>安全原生设计</w:t>
      </w:r>
      <w:r>
        <w:rPr>
          <w:color w:val="333333"/>
          <w:sz w:val="19"/>
          <w:lang w:eastAsia="zh-CN"/>
        </w:rPr>
        <w:t>：本平台并非通用编码助手的安全插件，而是从底层架构即面向安全审计与漏洞发现的专用系统。</w:t>
      </w:r>
    </w:p>
    <w:p w14:paraId="1A86050A" w14:textId="3B1B0F54" w:rsidR="00182D9E" w:rsidRPr="00182D9E" w:rsidRDefault="00182D9E">
      <w:pPr>
        <w:pStyle w:val="a0"/>
        <w:spacing w:after="30"/>
        <w:rPr>
          <w:lang w:eastAsia="zh-CN"/>
        </w:rPr>
      </w:pPr>
      <w:r w:rsidRPr="004332F8">
        <w:rPr>
          <w:rFonts w:hint="eastAsia"/>
          <w:b/>
          <w:bCs/>
          <w:color w:val="333333"/>
          <w:sz w:val="19"/>
          <w:lang w:eastAsia="zh-CN"/>
        </w:rPr>
        <w:t>支持多类大模型接入</w:t>
      </w:r>
      <w:r>
        <w:rPr>
          <w:rFonts w:hint="eastAsia"/>
          <w:color w:val="333333"/>
          <w:sz w:val="19"/>
          <w:lang w:eastAsia="zh-CN"/>
        </w:rPr>
        <w:t>：本平台可普适各类大模型，包括开源大模型（GLM、DeepSeek等）或商用模型，面向各类环境需求。</w:t>
      </w:r>
    </w:p>
    <w:p w14:paraId="6A96F8AB" w14:textId="69880EBA" w:rsidR="00182D9E" w:rsidRDefault="00182D9E">
      <w:pPr>
        <w:pStyle w:val="a0"/>
        <w:spacing w:after="30"/>
        <w:rPr>
          <w:lang w:eastAsia="zh-CN"/>
        </w:rPr>
      </w:pPr>
      <w:r w:rsidRPr="004332F8">
        <w:rPr>
          <w:rFonts w:hint="eastAsia"/>
          <w:b/>
          <w:bCs/>
          <w:color w:val="333333"/>
          <w:sz w:val="19"/>
          <w:lang w:eastAsia="zh-CN"/>
        </w:rPr>
        <w:t>全面自动化</w:t>
      </w:r>
      <w:r>
        <w:rPr>
          <w:rFonts w:hint="eastAsia"/>
          <w:color w:val="333333"/>
          <w:sz w:val="19"/>
          <w:lang w:eastAsia="zh-CN"/>
        </w:rPr>
        <w:t>：仅需上传目标软件，即可全自动实现软件规划、攻击面发现、审计等全部流程，最后生成安全漏洞报告。</w:t>
      </w:r>
    </w:p>
    <w:p w14:paraId="52297FF8" w14:textId="45E1A112" w:rsidR="002F03D8" w:rsidRDefault="00000000">
      <w:pPr>
        <w:pStyle w:val="a0"/>
        <w:spacing w:after="30"/>
        <w:rPr>
          <w:lang w:eastAsia="zh-CN"/>
        </w:rPr>
      </w:pPr>
      <w:r w:rsidRPr="004332F8">
        <w:rPr>
          <w:b/>
          <w:bCs/>
          <w:color w:val="333333"/>
          <w:sz w:val="19"/>
          <w:lang w:eastAsia="zh-CN"/>
        </w:rPr>
        <w:t>全仓</w:t>
      </w:r>
      <w:proofErr w:type="gramStart"/>
      <w:r w:rsidRPr="004332F8">
        <w:rPr>
          <w:b/>
          <w:bCs/>
          <w:color w:val="333333"/>
          <w:sz w:val="19"/>
          <w:lang w:eastAsia="zh-CN"/>
        </w:rPr>
        <w:t>级分析</w:t>
      </w:r>
      <w:proofErr w:type="gramEnd"/>
      <w:r w:rsidRPr="004332F8">
        <w:rPr>
          <w:b/>
          <w:bCs/>
          <w:color w:val="333333"/>
          <w:sz w:val="19"/>
          <w:lang w:eastAsia="zh-CN"/>
        </w:rPr>
        <w:t>能力</w:t>
      </w:r>
      <w:r>
        <w:rPr>
          <w:color w:val="333333"/>
          <w:sz w:val="19"/>
          <w:lang w:eastAsia="zh-CN"/>
        </w:rPr>
        <w:t>：</w:t>
      </w:r>
      <w:r w:rsidR="00182D9E">
        <w:rPr>
          <w:rFonts w:hint="eastAsia"/>
          <w:color w:val="333333"/>
          <w:sz w:val="19"/>
          <w:lang w:eastAsia="zh-CN"/>
        </w:rPr>
        <w:t>提供面向中大型项目的全面安全分析能力，</w:t>
      </w:r>
      <w:r>
        <w:rPr>
          <w:color w:val="333333"/>
          <w:sz w:val="19"/>
          <w:lang w:eastAsia="zh-CN"/>
        </w:rPr>
        <w:t>以整个代码仓库为分析单位，而非局限于单次 PR 或变更文件，能够识别跨模块、</w:t>
      </w:r>
      <w:proofErr w:type="gramStart"/>
      <w:r>
        <w:rPr>
          <w:color w:val="333333"/>
          <w:sz w:val="19"/>
          <w:lang w:eastAsia="zh-CN"/>
        </w:rPr>
        <w:t>跨文件</w:t>
      </w:r>
      <w:proofErr w:type="gramEnd"/>
      <w:r>
        <w:rPr>
          <w:color w:val="333333"/>
          <w:sz w:val="19"/>
          <w:lang w:eastAsia="zh-CN"/>
        </w:rPr>
        <w:t>的复合风险链路。</w:t>
      </w:r>
    </w:p>
    <w:p w14:paraId="1D1F40DC" w14:textId="77777777" w:rsidR="002F03D8" w:rsidRDefault="00000000">
      <w:pPr>
        <w:pStyle w:val="a0"/>
        <w:spacing w:after="30"/>
        <w:rPr>
          <w:lang w:eastAsia="zh-CN"/>
        </w:rPr>
      </w:pPr>
      <w:r w:rsidRPr="004332F8">
        <w:rPr>
          <w:b/>
          <w:bCs/>
          <w:color w:val="333333"/>
          <w:sz w:val="19"/>
          <w:lang w:eastAsia="zh-CN"/>
        </w:rPr>
        <w:t>攻击面驱动</w:t>
      </w:r>
      <w:r>
        <w:rPr>
          <w:color w:val="333333"/>
          <w:sz w:val="19"/>
          <w:lang w:eastAsia="zh-CN"/>
        </w:rPr>
        <w:t>：系统自动建模仓库攻击面，识别入口点、敏感点与关键桥接关系，</w:t>
      </w:r>
      <w:proofErr w:type="gramStart"/>
      <w:r>
        <w:rPr>
          <w:color w:val="333333"/>
          <w:sz w:val="19"/>
          <w:lang w:eastAsia="zh-CN"/>
        </w:rPr>
        <w:t>将算力</w:t>
      </w:r>
      <w:proofErr w:type="gramEnd"/>
      <w:r>
        <w:rPr>
          <w:color w:val="333333"/>
          <w:sz w:val="19"/>
          <w:lang w:eastAsia="zh-CN"/>
        </w:rPr>
        <w:t>优先分配至高价值审计区域。</w:t>
      </w:r>
    </w:p>
    <w:p w14:paraId="530803C0" w14:textId="77777777" w:rsidR="002F03D8" w:rsidRDefault="00000000">
      <w:pPr>
        <w:pStyle w:val="a0"/>
        <w:spacing w:after="30"/>
        <w:rPr>
          <w:lang w:eastAsia="zh-CN"/>
        </w:rPr>
      </w:pPr>
      <w:r w:rsidRPr="004332F8">
        <w:rPr>
          <w:b/>
          <w:bCs/>
          <w:color w:val="333333"/>
          <w:sz w:val="19"/>
          <w:lang w:eastAsia="zh-CN"/>
        </w:rPr>
        <w:t>证据链闭环</w:t>
      </w:r>
      <w:r>
        <w:rPr>
          <w:color w:val="333333"/>
          <w:sz w:val="19"/>
          <w:lang w:eastAsia="zh-CN"/>
        </w:rPr>
        <w:t>：通过静态事实采集、多轮推理验证与复核机制，形成从怀疑到结论的完整证据链，降低误报率。</w:t>
      </w:r>
    </w:p>
    <w:p w14:paraId="7584AFB1" w14:textId="77777777" w:rsidR="002F03D8" w:rsidRDefault="00000000">
      <w:pPr>
        <w:pStyle w:val="a0"/>
        <w:spacing w:after="30"/>
        <w:rPr>
          <w:lang w:eastAsia="zh-CN"/>
        </w:rPr>
      </w:pPr>
      <w:r w:rsidRPr="004332F8">
        <w:rPr>
          <w:b/>
          <w:bCs/>
          <w:color w:val="333333"/>
          <w:sz w:val="19"/>
          <w:lang w:eastAsia="zh-CN"/>
        </w:rPr>
        <w:t>自动化报告交付</w:t>
      </w:r>
      <w:r>
        <w:rPr>
          <w:color w:val="333333"/>
          <w:sz w:val="19"/>
          <w:lang w:eastAsia="zh-CN"/>
        </w:rPr>
        <w:t>：系统能够持续自动生成结构化漏洞报告、审计结论与交付工件，显著降低人工整理与报告编写成本。</w:t>
      </w:r>
    </w:p>
    <w:p w14:paraId="032BE3DA" w14:textId="77777777" w:rsidR="004332F8" w:rsidRPr="004332F8" w:rsidRDefault="00000000" w:rsidP="004332F8">
      <w:pPr>
        <w:pStyle w:val="a0"/>
        <w:spacing w:after="30"/>
        <w:rPr>
          <w:lang w:eastAsia="zh-CN"/>
        </w:rPr>
      </w:pPr>
      <w:r w:rsidRPr="004332F8">
        <w:rPr>
          <w:b/>
          <w:bCs/>
          <w:color w:val="333333"/>
          <w:sz w:val="19"/>
          <w:lang w:eastAsia="zh-CN"/>
        </w:rPr>
        <w:t>跨域覆盖能力</w:t>
      </w:r>
      <w:r>
        <w:rPr>
          <w:color w:val="333333"/>
          <w:sz w:val="19"/>
          <w:lang w:eastAsia="zh-CN"/>
        </w:rPr>
        <w:t>：漏洞发现范围横跨应用层（注入、XSS、SSRF）、基础设施层（路径穿越、配置风险）及内核层（Linux UAF），而非局限于单一漏洞类别。</w:t>
      </w:r>
    </w:p>
    <w:p w14:paraId="223056A5" w14:textId="45D0CBEE" w:rsidR="002F03D8" w:rsidRDefault="004332F8" w:rsidP="004332F8">
      <w:pPr>
        <w:pStyle w:val="a0"/>
        <w:numPr>
          <w:ilvl w:val="0"/>
          <w:numId w:val="0"/>
        </w:numPr>
        <w:spacing w:after="30"/>
        <w:rPr>
          <w:lang w:eastAsia="zh-CN"/>
        </w:rPr>
      </w:pPr>
      <w:r w:rsidRPr="004332F8">
        <w:rPr>
          <w:rFonts w:hint="eastAsia"/>
          <w:b/>
          <w:color w:val="1A1A1A"/>
          <w:sz w:val="26"/>
          <w:lang w:eastAsia="zh-CN"/>
        </w:rPr>
        <w:t>三</w:t>
      </w:r>
      <w:r w:rsidRPr="004332F8">
        <w:rPr>
          <w:b/>
          <w:color w:val="1A1A1A"/>
          <w:sz w:val="26"/>
          <w:lang w:eastAsia="zh-CN"/>
        </w:rPr>
        <w:t>、技术框架</w:t>
      </w:r>
    </w:p>
    <w:p w14:paraId="3378B1B6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系统架构遵循安全生产线设计理念，采用分层递进架构，每一层为下一层提供更稳定的安全上下文。整体框架分为以下五层：</w:t>
      </w:r>
    </w:p>
    <w:p w14:paraId="1BBD987E" w14:textId="36914FAA" w:rsidR="004332F8" w:rsidRDefault="004332F8" w:rsidP="004332F8">
      <w:pPr>
        <w:jc w:val="center"/>
        <w:rPr>
          <w:lang w:eastAsia="zh-CN"/>
        </w:rPr>
      </w:pPr>
      <w:r>
        <w:rPr>
          <w:rFonts w:hint="eastAsia"/>
          <w:noProof/>
          <w:lang w:eastAsia="zh-CN"/>
        </w:rPr>
        <w:lastRenderedPageBreak/>
        <w:drawing>
          <wp:inline distT="0" distB="0" distL="0" distR="0" wp14:anchorId="7FAA0146" wp14:editId="3334C48B">
            <wp:extent cx="5720736" cy="3217762"/>
            <wp:effectExtent l="0" t="0" r="0" b="1905"/>
            <wp:docPr id="15686992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99232" name="图片 15686992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551" cy="322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31B0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上述五层构成了从"代码理解"到"漏洞发现"再到"报告交付"的完整安全生产线，区别于通用对话式 AI 产品的单轮分析模式。</w:t>
      </w:r>
    </w:p>
    <w:p w14:paraId="55F662FA" w14:textId="4CBA3232" w:rsidR="002F03D8" w:rsidRDefault="00000000" w:rsidP="00182D9E">
      <w:pPr>
        <w:rPr>
          <w:lang w:eastAsia="zh-CN"/>
        </w:rPr>
      </w:pPr>
      <w:r>
        <w:rPr>
          <w:b/>
          <w:color w:val="1A1A1A"/>
          <w:sz w:val="26"/>
          <w:lang w:eastAsia="zh-CN"/>
        </w:rPr>
        <w:t>五、已形成的核心成果</w:t>
      </w:r>
    </w:p>
    <w:p w14:paraId="6840058E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截至当前，平台已在持续运行中形成了大规模、可观测、可复用的安全审计资产，以下从产出规模、质量分布、覆盖范围与典型案例四个维度进行详述。</w:t>
      </w:r>
    </w:p>
    <w:p w14:paraId="7B2218A3" w14:textId="6F09973A" w:rsidR="002F03D8" w:rsidRDefault="00000000">
      <w:pPr>
        <w:spacing w:before="120" w:after="40"/>
      </w:pPr>
      <w:r>
        <w:rPr>
          <w:b/>
          <w:color w:val="333333"/>
          <w:sz w:val="22"/>
        </w:rPr>
        <w:t xml:space="preserve">与 Claude Code + Opus 4.6 </w:t>
      </w:r>
      <w:proofErr w:type="spellStart"/>
      <w:r>
        <w:rPr>
          <w:b/>
          <w:color w:val="333333"/>
          <w:sz w:val="22"/>
        </w:rPr>
        <w:t>的对比评测</w:t>
      </w:r>
      <w:proofErr w:type="spellEnd"/>
    </w:p>
    <w:p w14:paraId="359E7B48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在 OpenHarmony LiteOS-A 内核场景下，本平台结合 GLM-5 的实测结果共发现漏洞 461 条，其中高危及以上 261 条；作为参照，Claude Code + Opus 4.6 在同一口径下发现 29 条。以发现数量计算，本平台对应方案的发现规模约为对照组的 15.9 倍。</w:t>
      </w:r>
    </w:p>
    <w:p w14:paraId="1BEC364D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进一步对比结果表明，本平台 + GLM-5 覆盖了 Claude Code + Opus 4.6 报告结果中的 28/29 条，对标覆盖率达到 96.6%。这说明平台并非通过偏离对照组能力边界来换取更多数量，而是在覆盖既有发现的基础上，进一步扩展了全仓搜索范围和问题捕获深度。</w:t>
      </w:r>
    </w:p>
    <w:p w14:paraId="4FEBE3D7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除 GLM-5 外，本平台结合 Qwen3-Coder-Next 也取得了 169 条漏洞发现结果，单独对 Claude Code + Opus 4.6 可实现 15/29 的覆盖，说明平台能力并不依赖单一超大模型，而具备较强的模型适配性和体系收益。</w:t>
      </w:r>
    </w:p>
    <w:p w14:paraId="27908DF7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从问题分布上看，Claude Code + Opus 4.6 的发现结果更多集中于相对直接的局部高风险点，而本平台在内存破坏、权限提升、路径访问、协议状态机、竞态/TOCTOU 等更复杂问题形态上展示出更强覆盖。这一差异反映的并不仅是模型能力差异，更是方法论差异：前者偏向局部对话探索，后者偏向全图视角下的系统化收敛。</w:t>
      </w:r>
    </w:p>
    <w:p w14:paraId="6FA314EB" w14:textId="77777777" w:rsidR="002F03D8" w:rsidRDefault="00000000">
      <w:pPr>
        <w:spacing w:before="120" w:after="40"/>
      </w:pPr>
      <w:r>
        <w:rPr>
          <w:b/>
          <w:color w:val="333333"/>
          <w:sz w:val="22"/>
        </w:rPr>
        <w:t xml:space="preserve">5.1 </w:t>
      </w:r>
      <w:proofErr w:type="spellStart"/>
      <w:r>
        <w:rPr>
          <w:b/>
          <w:color w:val="333333"/>
          <w:sz w:val="22"/>
        </w:rPr>
        <w:t>产出规模</w:t>
      </w:r>
      <w:proofErr w:type="spellEnd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3137"/>
        <w:gridCol w:w="3137"/>
        <w:gridCol w:w="3137"/>
      </w:tblGrid>
      <w:tr w:rsidR="002F03D8" w14:paraId="402222E0" w14:textId="77777777" w:rsidTr="002F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6180F50" w14:textId="77777777" w:rsidR="002F03D8" w:rsidRDefault="00000000">
            <w:proofErr w:type="spellStart"/>
            <w:r>
              <w:rPr>
                <w:color w:val="1A1A1A"/>
                <w:sz w:val="19"/>
              </w:rPr>
              <w:lastRenderedPageBreak/>
              <w:t>核心指标</w:t>
            </w:r>
            <w:proofErr w:type="spellEnd"/>
          </w:p>
        </w:tc>
        <w:tc>
          <w:tcPr>
            <w:tcW w:w="3137" w:type="dxa"/>
          </w:tcPr>
          <w:p w14:paraId="441051B2" w14:textId="77777777" w:rsidR="002F03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1A1A1A"/>
                <w:sz w:val="19"/>
              </w:rPr>
              <w:t>数值</w:t>
            </w:r>
            <w:proofErr w:type="spellEnd"/>
          </w:p>
        </w:tc>
        <w:tc>
          <w:tcPr>
            <w:tcW w:w="3137" w:type="dxa"/>
          </w:tcPr>
          <w:p w14:paraId="411AE724" w14:textId="77777777" w:rsidR="002F03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1A1A1A"/>
                <w:sz w:val="19"/>
              </w:rPr>
              <w:t>说明</w:t>
            </w:r>
            <w:proofErr w:type="spellEnd"/>
          </w:p>
        </w:tc>
      </w:tr>
      <w:tr w:rsidR="002F03D8" w14:paraId="74E24B20" w14:textId="77777777" w:rsidTr="002F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5539303F" w14:textId="2A158C9C" w:rsidR="002F03D8" w:rsidRDefault="00182D9E">
            <w:r>
              <w:rPr>
                <w:rFonts w:hint="eastAsia"/>
                <w:b w:val="0"/>
                <w:color w:val="333333"/>
                <w:sz w:val="18"/>
                <w:lang w:eastAsia="zh-CN"/>
              </w:rPr>
              <w:t>扫描</w:t>
            </w:r>
            <w:proofErr w:type="spellStart"/>
            <w:r>
              <w:rPr>
                <w:b w:val="0"/>
                <w:color w:val="333333"/>
                <w:sz w:val="18"/>
              </w:rPr>
              <w:t>项目数</w:t>
            </w:r>
            <w:proofErr w:type="spellEnd"/>
          </w:p>
        </w:tc>
        <w:tc>
          <w:tcPr>
            <w:tcW w:w="3137" w:type="dxa"/>
          </w:tcPr>
          <w:p w14:paraId="0DFCD1E2" w14:textId="23FD1ECC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 xml:space="preserve">421 </w:t>
            </w:r>
            <w:proofErr w:type="gramStart"/>
            <w:r>
              <w:rPr>
                <w:b/>
                <w:color w:val="C84D3A"/>
                <w:sz w:val="19"/>
              </w:rPr>
              <w:t>个</w:t>
            </w:r>
            <w:proofErr w:type="gramEnd"/>
            <w:r w:rsidR="00182D9E">
              <w:rPr>
                <w:rFonts w:hint="eastAsia"/>
                <w:b/>
                <w:color w:val="C84D3A"/>
                <w:sz w:val="19"/>
                <w:lang w:eastAsia="zh-CN"/>
              </w:rPr>
              <w:t>项目</w:t>
            </w:r>
          </w:p>
        </w:tc>
        <w:tc>
          <w:tcPr>
            <w:tcW w:w="3137" w:type="dxa"/>
          </w:tcPr>
          <w:p w14:paraId="370C7B48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以 GitHub 头部与高价值开源项目为主，涵盖基础设施、企业系统与业务平台</w:t>
            </w:r>
          </w:p>
        </w:tc>
      </w:tr>
      <w:tr w:rsidR="002F03D8" w14:paraId="1A2CBE08" w14:textId="77777777" w:rsidTr="002F03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2868FFE4" w14:textId="77777777" w:rsidR="002F03D8" w:rsidRDefault="00000000">
            <w:proofErr w:type="spellStart"/>
            <w:r>
              <w:rPr>
                <w:b w:val="0"/>
                <w:color w:val="333333"/>
                <w:sz w:val="18"/>
              </w:rPr>
              <w:t>已验证</w:t>
            </w:r>
            <w:proofErr w:type="spellEnd"/>
            <w:r>
              <w:rPr>
                <w:b w:val="0"/>
                <w:color w:val="333333"/>
                <w:sz w:val="18"/>
              </w:rPr>
              <w:t xml:space="preserve"> / </w:t>
            </w:r>
            <w:proofErr w:type="spellStart"/>
            <w:r>
              <w:rPr>
                <w:b w:val="0"/>
                <w:color w:val="333333"/>
                <w:sz w:val="18"/>
              </w:rPr>
              <w:t>已接受</w:t>
            </w:r>
            <w:proofErr w:type="spellEnd"/>
          </w:p>
        </w:tc>
        <w:tc>
          <w:tcPr>
            <w:tcW w:w="3137" w:type="dxa"/>
          </w:tcPr>
          <w:p w14:paraId="5F2D8BA4" w14:textId="4D35CCC2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b/>
                <w:color w:val="C84D3A"/>
                <w:sz w:val="19"/>
              </w:rPr>
              <w:t xml:space="preserve">1,563 </w:t>
            </w:r>
            <w:proofErr w:type="gramStart"/>
            <w:r w:rsidR="00182D9E">
              <w:rPr>
                <w:rFonts w:hint="eastAsia"/>
                <w:b/>
                <w:color w:val="C84D3A"/>
                <w:sz w:val="19"/>
                <w:lang w:eastAsia="zh-CN"/>
              </w:rPr>
              <w:t>个</w:t>
            </w:r>
            <w:proofErr w:type="gramEnd"/>
            <w:r w:rsidR="00182D9E">
              <w:rPr>
                <w:rFonts w:hint="eastAsia"/>
                <w:b/>
                <w:color w:val="C84D3A"/>
                <w:sz w:val="19"/>
                <w:lang w:eastAsia="zh-CN"/>
              </w:rPr>
              <w:t>漏洞</w:t>
            </w:r>
          </w:p>
        </w:tc>
        <w:tc>
          <w:tcPr>
            <w:tcW w:w="3137" w:type="dxa"/>
          </w:tcPr>
          <w:p w14:paraId="71530D28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经过复核流程验证的审计报告，体现产出的质量沉淀与可信度</w:t>
            </w:r>
          </w:p>
        </w:tc>
      </w:tr>
      <w:tr w:rsidR="002F03D8" w14:paraId="2255EE62" w14:textId="77777777" w:rsidTr="002F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4182EE2E" w14:textId="77777777" w:rsidR="002F03D8" w:rsidRDefault="00000000">
            <w:proofErr w:type="spellStart"/>
            <w:r>
              <w:rPr>
                <w:b w:val="0"/>
                <w:color w:val="333333"/>
                <w:sz w:val="18"/>
              </w:rPr>
              <w:t>已接受报告</w:t>
            </w:r>
            <w:proofErr w:type="spellEnd"/>
          </w:p>
        </w:tc>
        <w:tc>
          <w:tcPr>
            <w:tcW w:w="3137" w:type="dxa"/>
          </w:tcPr>
          <w:p w14:paraId="56F83A2B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1,007 份</w:t>
            </w:r>
          </w:p>
        </w:tc>
        <w:tc>
          <w:tcPr>
            <w:tcW w:w="3137" w:type="dxa"/>
          </w:tcPr>
          <w:p w14:paraId="0BDC6D33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达到交付级标准的审计成果，可直接作为安全团队的工作输入</w:t>
            </w:r>
          </w:p>
        </w:tc>
      </w:tr>
    </w:tbl>
    <w:p w14:paraId="55A6E98F" w14:textId="77777777" w:rsidR="002F03D8" w:rsidRDefault="00000000">
      <w:pPr>
        <w:spacing w:before="120" w:after="40"/>
        <w:rPr>
          <w:lang w:eastAsia="zh-CN"/>
        </w:rPr>
      </w:pPr>
      <w:r>
        <w:rPr>
          <w:b/>
          <w:color w:val="333333"/>
          <w:sz w:val="22"/>
          <w:lang w:eastAsia="zh-CN"/>
        </w:rPr>
        <w:t>5.2 质量分布</w:t>
      </w:r>
    </w:p>
    <w:p w14:paraId="7F5B097B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在已标注严重度的 850 份报告子集中，高危与急危结果合计 558 份，占比 65.6%。其中急危（Critical）报告 260 份（占比 30.6%），高危（High）报告 298 份（占比 35.1%）。高信号密度表明系统的攻击面优先级排序与审计流程能够</w:t>
      </w:r>
      <w:proofErr w:type="gramStart"/>
      <w:r>
        <w:rPr>
          <w:color w:val="333333"/>
          <w:sz w:val="20"/>
          <w:lang w:eastAsia="zh-CN"/>
        </w:rPr>
        <w:t>有效将算力</w:t>
      </w:r>
      <w:proofErr w:type="gramEnd"/>
      <w:r>
        <w:rPr>
          <w:color w:val="333333"/>
          <w:sz w:val="20"/>
          <w:lang w:eastAsia="zh-CN"/>
        </w:rPr>
        <w:t>转化为高价值安全发现，而非低价值弱信号的堆积。</w:t>
      </w:r>
    </w:p>
    <w:p w14:paraId="6287C185" w14:textId="77777777" w:rsidR="002F03D8" w:rsidRDefault="00000000">
      <w:pPr>
        <w:spacing w:before="120" w:after="40"/>
        <w:rPr>
          <w:lang w:eastAsia="zh-CN"/>
        </w:rPr>
      </w:pPr>
      <w:r>
        <w:rPr>
          <w:b/>
          <w:color w:val="333333"/>
          <w:sz w:val="22"/>
          <w:lang w:eastAsia="zh-CN"/>
        </w:rPr>
        <w:t>5.3 漏洞类别覆盖</w:t>
      </w:r>
    </w:p>
    <w:p w14:paraId="0D1805AE" w14:textId="77777777" w:rsidR="002F03D8" w:rsidRDefault="00000000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>平台的漏洞发现范围横跨多类攻击面与系统类型，主要类别及发现规模如下：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3137"/>
        <w:gridCol w:w="3137"/>
        <w:gridCol w:w="3137"/>
      </w:tblGrid>
      <w:tr w:rsidR="002F03D8" w14:paraId="23B97A72" w14:textId="77777777" w:rsidTr="002F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D9E8913" w14:textId="77777777" w:rsidR="002F03D8" w:rsidRDefault="00000000">
            <w:proofErr w:type="spellStart"/>
            <w:r>
              <w:rPr>
                <w:color w:val="1A1A1A"/>
                <w:sz w:val="19"/>
              </w:rPr>
              <w:t>漏洞类别</w:t>
            </w:r>
            <w:proofErr w:type="spellEnd"/>
          </w:p>
        </w:tc>
        <w:tc>
          <w:tcPr>
            <w:tcW w:w="3137" w:type="dxa"/>
          </w:tcPr>
          <w:p w14:paraId="75FD85D3" w14:textId="77777777" w:rsidR="002F03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1A1A1A"/>
                <w:sz w:val="19"/>
              </w:rPr>
              <w:t>发现数量</w:t>
            </w:r>
            <w:proofErr w:type="spellEnd"/>
          </w:p>
        </w:tc>
        <w:tc>
          <w:tcPr>
            <w:tcW w:w="3137" w:type="dxa"/>
          </w:tcPr>
          <w:p w14:paraId="1A03ED76" w14:textId="77777777" w:rsidR="002F03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1A1A1A"/>
                <w:sz w:val="19"/>
              </w:rPr>
              <w:t>覆盖场景</w:t>
            </w:r>
            <w:proofErr w:type="spellEnd"/>
          </w:p>
        </w:tc>
      </w:tr>
      <w:tr w:rsidR="002F03D8" w14:paraId="72D8511C" w14:textId="77777777" w:rsidTr="002F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D9B3232" w14:textId="77777777" w:rsidR="002F03D8" w:rsidRDefault="00000000">
            <w:proofErr w:type="spellStart"/>
            <w:r>
              <w:rPr>
                <w:b w:val="0"/>
                <w:color w:val="333333"/>
                <w:sz w:val="18"/>
              </w:rPr>
              <w:t>命令注入</w:t>
            </w:r>
            <w:proofErr w:type="spellEnd"/>
            <w:r>
              <w:rPr>
                <w:b w:val="0"/>
                <w:color w:val="333333"/>
                <w:sz w:val="18"/>
              </w:rPr>
              <w:t xml:space="preserve"> / </w:t>
            </w:r>
            <w:proofErr w:type="spellStart"/>
            <w:r>
              <w:rPr>
                <w:b w:val="0"/>
                <w:color w:val="333333"/>
                <w:sz w:val="18"/>
              </w:rPr>
              <w:t>远程执行</w:t>
            </w:r>
            <w:proofErr w:type="spellEnd"/>
          </w:p>
        </w:tc>
        <w:tc>
          <w:tcPr>
            <w:tcW w:w="3137" w:type="dxa"/>
          </w:tcPr>
          <w:p w14:paraId="65E16647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597</w:t>
            </w:r>
          </w:p>
        </w:tc>
        <w:tc>
          <w:tcPr>
            <w:tcW w:w="3137" w:type="dxa"/>
          </w:tcPr>
          <w:p w14:paraId="131DA1E4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执行边界控制缺失、部署路径滥用、动态执行风险</w:t>
            </w:r>
          </w:p>
        </w:tc>
      </w:tr>
      <w:tr w:rsidR="002F03D8" w14:paraId="279084D9" w14:textId="77777777" w:rsidTr="002F03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FACA298" w14:textId="77777777" w:rsidR="002F03D8" w:rsidRDefault="00000000">
            <w:proofErr w:type="spellStart"/>
            <w:r>
              <w:rPr>
                <w:b w:val="0"/>
                <w:color w:val="333333"/>
                <w:sz w:val="18"/>
              </w:rPr>
              <w:t>跨站脚本（XSS</w:t>
            </w:r>
            <w:proofErr w:type="spellEnd"/>
            <w:r>
              <w:rPr>
                <w:b w:val="0"/>
                <w:color w:val="333333"/>
                <w:sz w:val="18"/>
              </w:rPr>
              <w:t>）</w:t>
            </w:r>
          </w:p>
        </w:tc>
        <w:tc>
          <w:tcPr>
            <w:tcW w:w="3137" w:type="dxa"/>
          </w:tcPr>
          <w:p w14:paraId="4CE69223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356</w:t>
            </w:r>
          </w:p>
        </w:tc>
        <w:tc>
          <w:tcPr>
            <w:tcW w:w="3137" w:type="dxa"/>
          </w:tcPr>
          <w:p w14:paraId="4481185D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模板渲染、富文本处理、存储型跨站、管理后台影响路径</w:t>
            </w:r>
          </w:p>
        </w:tc>
      </w:tr>
      <w:tr w:rsidR="002F03D8" w14:paraId="3279AF44" w14:textId="77777777" w:rsidTr="002F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E45433C" w14:textId="77777777" w:rsidR="002F03D8" w:rsidRDefault="00000000">
            <w:proofErr w:type="spellStart"/>
            <w:r>
              <w:rPr>
                <w:b w:val="0"/>
                <w:color w:val="333333"/>
                <w:sz w:val="18"/>
              </w:rPr>
              <w:t>路径穿越</w:t>
            </w:r>
            <w:proofErr w:type="spellEnd"/>
          </w:p>
        </w:tc>
        <w:tc>
          <w:tcPr>
            <w:tcW w:w="3137" w:type="dxa"/>
          </w:tcPr>
          <w:p w14:paraId="72313CCB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338</w:t>
            </w:r>
          </w:p>
        </w:tc>
        <w:tc>
          <w:tcPr>
            <w:tcW w:w="3137" w:type="dxa"/>
          </w:tcPr>
          <w:p w14:paraId="65F63C71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编码绕过、路径拼接、文件访问边界突破</w:t>
            </w:r>
          </w:p>
        </w:tc>
      </w:tr>
      <w:tr w:rsidR="002F03D8" w14:paraId="4C26C630" w14:textId="77777777" w:rsidTr="002F03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014592FB" w14:textId="77777777" w:rsidR="002F03D8" w:rsidRDefault="00000000">
            <w:r>
              <w:rPr>
                <w:b w:val="0"/>
                <w:color w:val="333333"/>
                <w:sz w:val="18"/>
              </w:rPr>
              <w:t xml:space="preserve">SQL </w:t>
            </w:r>
            <w:proofErr w:type="spellStart"/>
            <w:r>
              <w:rPr>
                <w:b w:val="0"/>
                <w:color w:val="333333"/>
                <w:sz w:val="18"/>
              </w:rPr>
              <w:t>注入</w:t>
            </w:r>
            <w:proofErr w:type="spellEnd"/>
          </w:p>
        </w:tc>
        <w:tc>
          <w:tcPr>
            <w:tcW w:w="3137" w:type="dxa"/>
          </w:tcPr>
          <w:p w14:paraId="65246167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270</w:t>
            </w:r>
          </w:p>
        </w:tc>
        <w:tc>
          <w:tcPr>
            <w:tcW w:w="3137" w:type="dxa"/>
          </w:tcPr>
          <w:p w14:paraId="3FB98B6E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业务流、数据迁移流、配置流与数据服务边界</w:t>
            </w:r>
          </w:p>
        </w:tc>
      </w:tr>
      <w:tr w:rsidR="002F03D8" w14:paraId="1742781C" w14:textId="77777777" w:rsidTr="002F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068E075E" w14:textId="77777777" w:rsidR="002F03D8" w:rsidRDefault="00000000">
            <w:pPr>
              <w:rPr>
                <w:lang w:eastAsia="zh-CN"/>
              </w:rPr>
            </w:pPr>
            <w:r>
              <w:rPr>
                <w:b w:val="0"/>
                <w:color w:val="333333"/>
                <w:sz w:val="18"/>
                <w:lang w:eastAsia="zh-CN"/>
              </w:rPr>
              <w:t>服务端请求伪造（SSRF）</w:t>
            </w:r>
          </w:p>
        </w:tc>
        <w:tc>
          <w:tcPr>
            <w:tcW w:w="3137" w:type="dxa"/>
          </w:tcPr>
          <w:p w14:paraId="11BD5228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213</w:t>
            </w:r>
          </w:p>
        </w:tc>
        <w:tc>
          <w:tcPr>
            <w:tcW w:w="3137" w:type="dxa"/>
          </w:tcPr>
          <w:p w14:paraId="27057411" w14:textId="77777777" w:rsidR="002F03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外部资源访问、代理请求、内部资产探测</w:t>
            </w:r>
          </w:p>
        </w:tc>
      </w:tr>
      <w:tr w:rsidR="002F03D8" w14:paraId="558B4684" w14:textId="77777777" w:rsidTr="002F03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C068C08" w14:textId="77777777" w:rsidR="002F03D8" w:rsidRDefault="00000000">
            <w:r>
              <w:rPr>
                <w:b w:val="0"/>
                <w:color w:val="333333"/>
                <w:sz w:val="18"/>
              </w:rPr>
              <w:t xml:space="preserve">Linux </w:t>
            </w:r>
            <w:proofErr w:type="spellStart"/>
            <w:r>
              <w:rPr>
                <w:b w:val="0"/>
                <w:color w:val="333333"/>
                <w:sz w:val="18"/>
              </w:rPr>
              <w:t>UAF（释放后使用</w:t>
            </w:r>
            <w:proofErr w:type="spellEnd"/>
            <w:r>
              <w:rPr>
                <w:b w:val="0"/>
                <w:color w:val="333333"/>
                <w:sz w:val="18"/>
              </w:rPr>
              <w:t>）</w:t>
            </w:r>
          </w:p>
        </w:tc>
        <w:tc>
          <w:tcPr>
            <w:tcW w:w="3137" w:type="dxa"/>
          </w:tcPr>
          <w:p w14:paraId="52370225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C84D3A"/>
                <w:sz w:val="19"/>
              </w:rPr>
              <w:t>100+</w:t>
            </w:r>
          </w:p>
        </w:tc>
        <w:tc>
          <w:tcPr>
            <w:tcW w:w="3137" w:type="dxa"/>
          </w:tcPr>
          <w:p w14:paraId="235A2D5E" w14:textId="77777777" w:rsidR="002F03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333333"/>
                <w:sz w:val="18"/>
                <w:lang w:eastAsia="zh-CN"/>
              </w:rPr>
              <w:t>内核驱动、媒体子系统、网络子系统、设备子系统</w:t>
            </w:r>
          </w:p>
        </w:tc>
      </w:tr>
    </w:tbl>
    <w:p w14:paraId="400D24BA" w14:textId="1FF18029" w:rsidR="002F03D8" w:rsidRDefault="00000000" w:rsidP="00A51511">
      <w:pPr>
        <w:ind w:firstLine="397"/>
        <w:rPr>
          <w:lang w:eastAsia="zh-CN"/>
        </w:rPr>
      </w:pPr>
      <w:r>
        <w:rPr>
          <w:color w:val="333333"/>
          <w:sz w:val="20"/>
          <w:lang w:eastAsia="zh-CN"/>
        </w:rPr>
        <w:t xml:space="preserve">其中 Linux UAF 方向尤其值得关注。该方向已独立形成百级发现规模（当前语料分支中整理出 136 </w:t>
      </w:r>
      <w:proofErr w:type="gramStart"/>
      <w:r>
        <w:rPr>
          <w:color w:val="333333"/>
          <w:sz w:val="20"/>
          <w:lang w:eastAsia="zh-CN"/>
        </w:rPr>
        <w:t>份相关</w:t>
      </w:r>
      <w:proofErr w:type="gramEnd"/>
      <w:r>
        <w:rPr>
          <w:color w:val="333333"/>
          <w:sz w:val="20"/>
          <w:lang w:eastAsia="zh-CN"/>
        </w:rPr>
        <w:t>报告），涉及生命周期错配、并发竞态、资源释放顺序等</w:t>
      </w:r>
      <w:proofErr w:type="gramStart"/>
      <w:r>
        <w:rPr>
          <w:color w:val="333333"/>
          <w:sz w:val="20"/>
          <w:lang w:eastAsia="zh-CN"/>
        </w:rPr>
        <w:t>内核级</w:t>
      </w:r>
      <w:proofErr w:type="gramEnd"/>
      <w:r>
        <w:rPr>
          <w:color w:val="333333"/>
          <w:sz w:val="20"/>
          <w:lang w:eastAsia="zh-CN"/>
        </w:rPr>
        <w:t>安全问题，验证了平台在系统软件与驱动层面的深度分析能力。</w:t>
      </w:r>
    </w:p>
    <w:p w14:paraId="5346BFC6" w14:textId="77777777" w:rsidR="002F03D8" w:rsidRDefault="00000000">
      <w:pPr>
        <w:spacing w:before="120" w:after="40"/>
        <w:rPr>
          <w:lang w:eastAsia="zh-CN"/>
        </w:rPr>
      </w:pPr>
      <w:r>
        <w:rPr>
          <w:b/>
          <w:color w:val="333333"/>
          <w:sz w:val="22"/>
          <w:lang w:eastAsia="zh-CN"/>
        </w:rPr>
        <w:t>5.5 典型案例</w:t>
      </w:r>
    </w:p>
    <w:p w14:paraId="5C37DE5A" w14:textId="77777777" w:rsidR="002F03D8" w:rsidRDefault="00000000">
      <w:pPr>
        <w:ind w:firstLine="397"/>
        <w:rPr>
          <w:lang w:eastAsia="zh-CN"/>
        </w:rPr>
      </w:pPr>
      <w:r>
        <w:rPr>
          <w:b/>
          <w:color w:val="333333"/>
          <w:sz w:val="20"/>
          <w:lang w:eastAsia="zh-CN"/>
        </w:rPr>
        <w:t>案例</w:t>
      </w:r>
      <w:proofErr w:type="gramStart"/>
      <w:r>
        <w:rPr>
          <w:b/>
          <w:color w:val="333333"/>
          <w:sz w:val="20"/>
          <w:lang w:eastAsia="zh-CN"/>
        </w:rPr>
        <w:t>一</w:t>
      </w:r>
      <w:proofErr w:type="gramEnd"/>
      <w:r>
        <w:rPr>
          <w:b/>
          <w:color w:val="333333"/>
          <w:sz w:val="20"/>
          <w:lang w:eastAsia="zh-CN"/>
        </w:rPr>
        <w:t>：AI 智能体平台高危执行风险。</w:t>
      </w:r>
      <w:r>
        <w:rPr>
          <w:color w:val="333333"/>
          <w:sz w:val="20"/>
          <w:lang w:eastAsia="zh-CN"/>
        </w:rPr>
        <w:t>在某 AI 应用执行路径中，攻击者可控输入跨过弱验证边界，接近服务器侧高影响执行能力。风险分布在"交互层→模型中介→执行层"整条链路中，一旦触发可能导致凭证</w:t>
      </w:r>
      <w:r>
        <w:rPr>
          <w:color w:val="333333"/>
          <w:sz w:val="20"/>
          <w:lang w:eastAsia="zh-CN"/>
        </w:rPr>
        <w:lastRenderedPageBreak/>
        <w:t>窃取、文件访问、持久化控制及横向移动等基础</w:t>
      </w:r>
      <w:proofErr w:type="gramStart"/>
      <w:r>
        <w:rPr>
          <w:color w:val="333333"/>
          <w:sz w:val="20"/>
          <w:lang w:eastAsia="zh-CN"/>
        </w:rPr>
        <w:t>设施级</w:t>
      </w:r>
      <w:proofErr w:type="gramEnd"/>
      <w:r>
        <w:rPr>
          <w:color w:val="333333"/>
          <w:sz w:val="20"/>
          <w:lang w:eastAsia="zh-CN"/>
        </w:rPr>
        <w:t>后果。该案例体现了平台对现代 AI 应用执行边界的识别能力。</w:t>
      </w:r>
    </w:p>
    <w:p w14:paraId="665A1136" w14:textId="5784915C" w:rsidR="00B653A4" w:rsidRDefault="00000000" w:rsidP="00B653A4">
      <w:pPr>
        <w:ind w:firstLine="397"/>
        <w:rPr>
          <w:lang w:eastAsia="zh-CN"/>
        </w:rPr>
      </w:pPr>
      <w:r>
        <w:rPr>
          <w:b/>
          <w:color w:val="333333"/>
          <w:sz w:val="20"/>
          <w:lang w:eastAsia="zh-CN"/>
        </w:rPr>
        <w:t>案例二：多阶段渲染链路高影响执行边界。</w:t>
      </w:r>
      <w:r>
        <w:rPr>
          <w:color w:val="333333"/>
          <w:sz w:val="20"/>
          <w:lang w:eastAsia="zh-CN"/>
        </w:rPr>
        <w:t>该案例涉及模板/内容渲染场景中的高危执行风险。问题并非集中于单一危险 API，而是跨越输入、过滤、存储、模板及渲染边界的复合路径。系统将完整数据流串联为可验证链路，体现了超越单点扫描的链式推理能力。</w:t>
      </w:r>
    </w:p>
    <w:p w14:paraId="426BAA3D" w14:textId="3F5DCB45" w:rsidR="002F03D8" w:rsidRDefault="002F03D8">
      <w:pPr>
        <w:jc w:val="right"/>
        <w:rPr>
          <w:lang w:eastAsia="zh-CN"/>
        </w:rPr>
      </w:pPr>
    </w:p>
    <w:sectPr w:rsidR="002F03D8" w:rsidSect="00034616">
      <w:pgSz w:w="11906" w:h="16838"/>
      <w:pgMar w:top="1020" w:right="1247" w:bottom="85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45BB" w14:textId="77777777" w:rsidR="00695B1C" w:rsidRDefault="00695B1C" w:rsidP="0078508C">
      <w:pPr>
        <w:spacing w:after="0" w:line="240" w:lineRule="auto"/>
      </w:pPr>
      <w:r>
        <w:separator/>
      </w:r>
    </w:p>
  </w:endnote>
  <w:endnote w:type="continuationSeparator" w:id="0">
    <w:p w14:paraId="34EF136D" w14:textId="77777777" w:rsidR="00695B1C" w:rsidRDefault="00695B1C" w:rsidP="0078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EF63" w14:textId="77777777" w:rsidR="00695B1C" w:rsidRDefault="00695B1C" w:rsidP="0078508C">
      <w:pPr>
        <w:spacing w:after="0" w:line="240" w:lineRule="auto"/>
      </w:pPr>
      <w:r>
        <w:separator/>
      </w:r>
    </w:p>
  </w:footnote>
  <w:footnote w:type="continuationSeparator" w:id="0">
    <w:p w14:paraId="1A752167" w14:textId="77777777" w:rsidR="00695B1C" w:rsidRDefault="00695B1C" w:rsidP="0078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814462">
    <w:abstractNumId w:val="8"/>
  </w:num>
  <w:num w:numId="2" w16cid:durableId="745959189">
    <w:abstractNumId w:val="6"/>
  </w:num>
  <w:num w:numId="3" w16cid:durableId="2031947157">
    <w:abstractNumId w:val="5"/>
  </w:num>
  <w:num w:numId="4" w16cid:durableId="253636128">
    <w:abstractNumId w:val="4"/>
  </w:num>
  <w:num w:numId="5" w16cid:durableId="416101997">
    <w:abstractNumId w:val="7"/>
  </w:num>
  <w:num w:numId="6" w16cid:durableId="385182615">
    <w:abstractNumId w:val="3"/>
  </w:num>
  <w:num w:numId="7" w16cid:durableId="315959860">
    <w:abstractNumId w:val="2"/>
  </w:num>
  <w:num w:numId="8" w16cid:durableId="1623607428">
    <w:abstractNumId w:val="1"/>
  </w:num>
  <w:num w:numId="9" w16cid:durableId="23150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D9E"/>
    <w:rsid w:val="00202DB5"/>
    <w:rsid w:val="0029639D"/>
    <w:rsid w:val="002F03D8"/>
    <w:rsid w:val="00326F90"/>
    <w:rsid w:val="00421444"/>
    <w:rsid w:val="004332F8"/>
    <w:rsid w:val="006203CE"/>
    <w:rsid w:val="00695B1C"/>
    <w:rsid w:val="00722A44"/>
    <w:rsid w:val="0078508C"/>
    <w:rsid w:val="00A51511"/>
    <w:rsid w:val="00AA1D8D"/>
    <w:rsid w:val="00B47730"/>
    <w:rsid w:val="00B653A4"/>
    <w:rsid w:val="00CB0664"/>
    <w:rsid w:val="00DC013C"/>
    <w:rsid w:val="00DD792E"/>
    <w:rsid w:val="00ED23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E9AA78"/>
  <w14:defaultImageDpi w14:val="300"/>
  <w15:docId w15:val="{6107B48D-9FB8-462A-948F-3273AEC6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300" w:lineRule="auto"/>
    </w:pPr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Song Li</cp:lastModifiedBy>
  <cp:revision>8</cp:revision>
  <dcterms:created xsi:type="dcterms:W3CDTF">2013-12-23T23:15:00Z</dcterms:created>
  <dcterms:modified xsi:type="dcterms:W3CDTF">2026-04-14T11:46:00Z</dcterms:modified>
  <cp:category/>
</cp:coreProperties>
</file>